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1AA4" w14:textId="3376BF62" w:rsidR="005226D8" w:rsidRDefault="005226D8" w:rsidP="005226D8">
      <w:pPr>
        <w:spacing w:after="0" w:line="240" w:lineRule="auto"/>
        <w:ind w:right="108"/>
        <w:rPr>
          <w:rFonts w:cs="Calibri"/>
          <w:b/>
          <w:spacing w:val="20"/>
        </w:rPr>
      </w:pPr>
      <w:r w:rsidRPr="00767D75">
        <w:rPr>
          <w:rFonts w:eastAsia="Times New Roman" w:cs="Calibri"/>
          <w:b/>
          <w:noProof/>
        </w:rPr>
        <mc:AlternateContent>
          <mc:Choice Requires="wps">
            <w:drawing>
              <wp:anchor distT="0" distB="0" distL="114300" distR="114300" simplePos="0" relativeHeight="251659264" behindDoc="0" locked="0" layoutInCell="1" allowOverlap="1" wp14:anchorId="57D0E90D" wp14:editId="1D54CC81">
                <wp:simplePos x="0" y="0"/>
                <wp:positionH relativeFrom="column">
                  <wp:posOffset>4463415</wp:posOffset>
                </wp:positionH>
                <wp:positionV relativeFrom="paragraph">
                  <wp:posOffset>-89535</wp:posOffset>
                </wp:positionV>
                <wp:extent cx="1647825" cy="29527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95275"/>
                        </a:xfrm>
                        <a:prstGeom prst="roundRect">
                          <a:avLst>
                            <a:gd name="adj" fmla="val 6454"/>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8A46B3" w14:textId="77777777" w:rsidR="005226D8" w:rsidRPr="003F6DFE" w:rsidRDefault="005226D8" w:rsidP="005226D8">
                            <w:pPr>
                              <w:spacing w:after="0" w:line="240" w:lineRule="auto"/>
                              <w:jc w:val="center"/>
                              <w:rPr>
                                <w:rFonts w:ascii="Arial Narrow" w:hAnsi="Arial Narrow" w:cs="Gisha"/>
                                <w:b/>
                                <w:spacing w:val="20"/>
                                <w:sz w:val="24"/>
                              </w:rPr>
                            </w:pPr>
                            <w:r w:rsidRPr="003F6DFE">
                              <w:rPr>
                                <w:rFonts w:ascii="Arial Narrow" w:hAnsi="Arial Narrow" w:cs="Gisha"/>
                                <w:b/>
                                <w:spacing w:val="20"/>
                                <w:sz w:val="24"/>
                              </w:rPr>
                              <w:t>ORIGINAL ARTICLE</w:t>
                            </w:r>
                          </w:p>
                          <w:p w14:paraId="66C70BBB" w14:textId="77777777" w:rsidR="005226D8" w:rsidRPr="003F6DFE" w:rsidRDefault="005226D8" w:rsidP="005226D8">
                            <w:pPr>
                              <w:spacing w:after="0" w:line="240" w:lineRule="auto"/>
                              <w:jc w:val="center"/>
                              <w:rPr>
                                <w:rFonts w:ascii="Arial Narrow" w:hAnsi="Arial Narrow" w:cs="Gisha"/>
                                <w:b/>
                                <w:spacing w:val="2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0E90D" id="AutoShape 2" o:spid="_x0000_s1026" style="position:absolute;margin-left:351.45pt;margin-top:-7.05pt;width:12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" strokeweight=".25pt">
                <v:shadow color="#868686"/>
                <v:textbox>
                  <w:txbxContent>
                    <w:p w14:paraId="2F8A46B3" w14:textId="77777777" w:rsidR="005226D8" w:rsidRPr="003F6DFE" w:rsidRDefault="005226D8" w:rsidP="005226D8">
                      <w:pPr>
                        <w:spacing w:after="0" w:line="240" w:lineRule="auto"/>
                        <w:jc w:val="center"/>
                        <w:rPr>
                          <w:rFonts w:ascii="Arial Narrow" w:hAnsi="Arial Narrow" w:cs="Gisha"/>
                          <w:b/>
                          <w:spacing w:val="20"/>
                          <w:sz w:val="24"/>
                        </w:rPr>
                      </w:pPr>
                      <w:r w:rsidRPr="003F6DFE">
                        <w:rPr>
                          <w:rFonts w:ascii="Arial Narrow" w:hAnsi="Arial Narrow" w:cs="Gisha"/>
                          <w:b/>
                          <w:spacing w:val="20"/>
                          <w:sz w:val="24"/>
                        </w:rPr>
                        <w:t>ORIGINAL ARTICLE</w:t>
                      </w:r>
                    </w:p>
                    <w:p w14:paraId="66C70BBB" w14:textId="77777777" w:rsidR="005226D8" w:rsidRPr="003F6DFE" w:rsidRDefault="005226D8" w:rsidP="005226D8">
                      <w:pPr>
                        <w:spacing w:after="0" w:line="240" w:lineRule="auto"/>
                        <w:jc w:val="center"/>
                        <w:rPr>
                          <w:rFonts w:ascii="Arial Narrow" w:hAnsi="Arial Narrow" w:cs="Gisha"/>
                          <w:b/>
                          <w:spacing w:val="20"/>
                          <w:sz w:val="24"/>
                        </w:rPr>
                      </w:pPr>
                    </w:p>
                  </w:txbxContent>
                </v:textbox>
              </v:roundrect>
            </w:pict>
          </mc:Fallback>
        </mc:AlternateContent>
      </w:r>
      <w:r w:rsidRPr="00767D75">
        <w:rPr>
          <w:rFonts w:cs="Calibri"/>
          <w:b/>
          <w:spacing w:val="20"/>
        </w:rPr>
        <w:t xml:space="preserve">Open Access </w:t>
      </w:r>
    </w:p>
    <w:p w14:paraId="05299295" w14:textId="4EAD66B4" w:rsidR="005226D8" w:rsidRPr="005226D8" w:rsidRDefault="005226D8" w:rsidP="005226D8">
      <w:pPr>
        <w:spacing w:after="0" w:line="240" w:lineRule="auto"/>
        <w:ind w:right="108"/>
        <w:rPr>
          <w:rFonts w:cs="Calibri"/>
          <w:b/>
          <w:spacing w:val="20"/>
        </w:rPr>
      </w:pPr>
      <w:r w:rsidRPr="00767D75">
        <w:rPr>
          <w:rFonts w:eastAsia="Times New Roman" w:cs="Calibri"/>
          <w:b/>
          <w:noProof/>
          <w:sz w:val="36"/>
          <w:szCs w:val="36"/>
        </w:rPr>
        <w:drawing>
          <wp:anchor distT="0" distB="0" distL="114300" distR="114300" simplePos="0" relativeHeight="251661312" behindDoc="1" locked="0" layoutInCell="1" allowOverlap="1" wp14:anchorId="0C30B8D4" wp14:editId="769F77F6">
            <wp:simplePos x="0" y="0"/>
            <wp:positionH relativeFrom="column">
              <wp:posOffset>-116958</wp:posOffset>
            </wp:positionH>
            <wp:positionV relativeFrom="paragraph">
              <wp:posOffset>95752</wp:posOffset>
            </wp:positionV>
            <wp:extent cx="6315739" cy="817840"/>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739" cy="817840"/>
                    </a:xfrm>
                    <a:prstGeom prst="rect">
                      <a:avLst/>
                    </a:prstGeom>
                    <a:noFill/>
                  </pic:spPr>
                </pic:pic>
              </a:graphicData>
            </a:graphic>
            <wp14:sizeRelH relativeFrom="page">
              <wp14:pctWidth>0</wp14:pctWidth>
            </wp14:sizeRelH>
            <wp14:sizeRelV relativeFrom="page">
              <wp14:pctHeight>0</wp14:pctHeight>
            </wp14:sizeRelV>
          </wp:anchor>
        </w:drawing>
      </w:r>
    </w:p>
    <w:p w14:paraId="45751010" w14:textId="4D86EDA8" w:rsidR="005226D8" w:rsidRDefault="00E83D37" w:rsidP="005226D8">
      <w:pPr>
        <w:jc w:val="center"/>
        <w:rPr>
          <w:b/>
          <w:bCs/>
          <w:sz w:val="36"/>
          <w:szCs w:val="36"/>
        </w:rPr>
      </w:pPr>
      <w:bookmarkStart w:id="0" w:name="_Hlk82522714"/>
      <w:r w:rsidRPr="00B95AED">
        <w:rPr>
          <w:b/>
          <w:bCs/>
          <w:sz w:val="36"/>
          <w:szCs w:val="36"/>
        </w:rPr>
        <w:t xml:space="preserve">Audiometric </w:t>
      </w:r>
      <w:r w:rsidR="00EB21C0" w:rsidRPr="00B95AED">
        <w:rPr>
          <w:b/>
          <w:bCs/>
          <w:sz w:val="36"/>
          <w:szCs w:val="36"/>
        </w:rPr>
        <w:t xml:space="preserve">Characteristics of Presbycusis: </w:t>
      </w:r>
      <w:r w:rsidR="00C65636">
        <w:rPr>
          <w:b/>
          <w:bCs/>
          <w:sz w:val="36"/>
          <w:szCs w:val="36"/>
        </w:rPr>
        <w:t>A</w:t>
      </w:r>
      <w:r w:rsidRPr="00B95AED">
        <w:rPr>
          <w:b/>
          <w:bCs/>
          <w:sz w:val="36"/>
          <w:szCs w:val="36"/>
        </w:rPr>
        <w:t xml:space="preserve"> </w:t>
      </w:r>
      <w:r w:rsidR="00EB21C0" w:rsidRPr="00B95AED">
        <w:rPr>
          <w:b/>
          <w:bCs/>
          <w:sz w:val="36"/>
          <w:szCs w:val="36"/>
        </w:rPr>
        <w:t>Hospital-Based Study</w:t>
      </w:r>
    </w:p>
    <w:bookmarkEnd w:id="0"/>
    <w:p w14:paraId="1931D441" w14:textId="64D9A96C" w:rsidR="005226D8" w:rsidRPr="00B27262" w:rsidRDefault="005226D8" w:rsidP="00A87F1E">
      <w:pPr>
        <w:spacing w:line="240" w:lineRule="auto"/>
        <w:contextualSpacing/>
        <w:jc w:val="center"/>
        <w:rPr>
          <w:b/>
          <w:bCs/>
          <w:vertAlign w:val="superscript"/>
        </w:rPr>
      </w:pPr>
      <w:r w:rsidRPr="005226D8">
        <w:rPr>
          <w:b/>
          <w:bCs/>
        </w:rPr>
        <w:t>Ghulam Saqulain</w:t>
      </w:r>
      <w:r>
        <w:rPr>
          <w:b/>
          <w:bCs/>
          <w:vertAlign w:val="superscript"/>
        </w:rPr>
        <w:t>1</w:t>
      </w:r>
      <w:r>
        <w:rPr>
          <w:b/>
          <w:bCs/>
        </w:rPr>
        <w:t xml:space="preserve">, </w:t>
      </w:r>
      <w:r w:rsidR="0037658E">
        <w:rPr>
          <w:b/>
          <w:bCs/>
        </w:rPr>
        <w:t>Gul-e-Zahra</w:t>
      </w:r>
      <w:r w:rsidR="0037658E">
        <w:rPr>
          <w:b/>
          <w:bCs/>
          <w:vertAlign w:val="superscript"/>
        </w:rPr>
        <w:t>2</w:t>
      </w:r>
      <w:r w:rsidR="0037658E">
        <w:rPr>
          <w:b/>
          <w:bCs/>
        </w:rPr>
        <w:t xml:space="preserve">, </w:t>
      </w:r>
      <w:proofErr w:type="spellStart"/>
      <w:r w:rsidR="0037658E">
        <w:rPr>
          <w:b/>
          <w:bCs/>
        </w:rPr>
        <w:t>Nazia</w:t>
      </w:r>
      <w:proofErr w:type="spellEnd"/>
      <w:r w:rsidR="0037658E">
        <w:rPr>
          <w:b/>
          <w:bCs/>
        </w:rPr>
        <w:t xml:space="preserve"> Mumtaz</w:t>
      </w:r>
      <w:r w:rsidR="00B27262">
        <w:rPr>
          <w:b/>
          <w:bCs/>
          <w:vertAlign w:val="superscript"/>
        </w:rPr>
        <w:t>3</w:t>
      </w:r>
    </w:p>
    <w:p w14:paraId="68F39754" w14:textId="40F0DBE6" w:rsidR="005226D8" w:rsidRPr="0037658E" w:rsidRDefault="0037658E" w:rsidP="00A87F1E">
      <w:pPr>
        <w:spacing w:line="240" w:lineRule="auto"/>
        <w:contextualSpacing/>
        <w:jc w:val="center"/>
        <w:rPr>
          <w:sz w:val="20"/>
          <w:szCs w:val="20"/>
        </w:rPr>
      </w:pPr>
      <w:r>
        <w:rPr>
          <w:sz w:val="20"/>
          <w:szCs w:val="20"/>
          <w:vertAlign w:val="superscript"/>
        </w:rPr>
        <w:t>1</w:t>
      </w:r>
      <w:r w:rsidR="005226D8" w:rsidRPr="0037658E">
        <w:rPr>
          <w:sz w:val="20"/>
          <w:szCs w:val="20"/>
        </w:rPr>
        <w:t>H</w:t>
      </w:r>
      <w:r w:rsidR="00A839C4">
        <w:rPr>
          <w:sz w:val="20"/>
          <w:szCs w:val="20"/>
        </w:rPr>
        <w:t xml:space="preserve">ead of </w:t>
      </w:r>
      <w:r w:rsidR="005226D8" w:rsidRPr="0037658E">
        <w:rPr>
          <w:sz w:val="20"/>
          <w:szCs w:val="20"/>
        </w:rPr>
        <w:t>D</w:t>
      </w:r>
      <w:r w:rsidR="00A839C4">
        <w:rPr>
          <w:sz w:val="20"/>
          <w:szCs w:val="20"/>
        </w:rPr>
        <w:t>epartment</w:t>
      </w:r>
      <w:r w:rsidR="005226D8" w:rsidRPr="0037658E">
        <w:rPr>
          <w:sz w:val="20"/>
          <w:szCs w:val="20"/>
        </w:rPr>
        <w:t xml:space="preserve">, </w:t>
      </w:r>
      <w:r w:rsidRPr="0037658E">
        <w:rPr>
          <w:sz w:val="20"/>
          <w:szCs w:val="20"/>
        </w:rPr>
        <w:t>Otorhinolaryngology, Capital Hospital PGMI, Islamabad</w:t>
      </w:r>
    </w:p>
    <w:p w14:paraId="0228A61C" w14:textId="33E62F2D" w:rsidR="0037658E" w:rsidRPr="0037658E" w:rsidRDefault="0037658E" w:rsidP="00A87F1E">
      <w:pPr>
        <w:spacing w:line="240" w:lineRule="auto"/>
        <w:contextualSpacing/>
        <w:jc w:val="center"/>
        <w:rPr>
          <w:sz w:val="20"/>
          <w:szCs w:val="20"/>
        </w:rPr>
      </w:pPr>
      <w:r>
        <w:rPr>
          <w:sz w:val="20"/>
          <w:szCs w:val="20"/>
          <w:vertAlign w:val="superscript"/>
        </w:rPr>
        <w:t>2</w:t>
      </w:r>
      <w:r w:rsidRPr="0037658E">
        <w:rPr>
          <w:sz w:val="20"/>
          <w:szCs w:val="20"/>
        </w:rPr>
        <w:t>Audiologist, Yusra General Hospital, Islamabad</w:t>
      </w:r>
    </w:p>
    <w:p w14:paraId="7C0A00B8" w14:textId="402B89AE" w:rsidR="0037658E" w:rsidRPr="0037658E" w:rsidRDefault="0037658E" w:rsidP="00A87F1E">
      <w:pPr>
        <w:contextualSpacing/>
        <w:jc w:val="center"/>
        <w:rPr>
          <w:sz w:val="20"/>
          <w:szCs w:val="20"/>
        </w:rPr>
      </w:pPr>
      <w:r>
        <w:rPr>
          <w:sz w:val="20"/>
          <w:szCs w:val="20"/>
          <w:vertAlign w:val="superscript"/>
        </w:rPr>
        <w:t>3</w:t>
      </w:r>
      <w:r w:rsidRPr="0037658E">
        <w:rPr>
          <w:sz w:val="20"/>
          <w:szCs w:val="20"/>
        </w:rPr>
        <w:t>H</w:t>
      </w:r>
      <w:r w:rsidR="00A839C4">
        <w:rPr>
          <w:sz w:val="20"/>
          <w:szCs w:val="20"/>
        </w:rPr>
        <w:t xml:space="preserve">ead of </w:t>
      </w:r>
      <w:r w:rsidRPr="0037658E">
        <w:rPr>
          <w:sz w:val="20"/>
          <w:szCs w:val="20"/>
        </w:rPr>
        <w:t>D</w:t>
      </w:r>
      <w:r w:rsidR="00A839C4">
        <w:rPr>
          <w:sz w:val="20"/>
          <w:szCs w:val="20"/>
        </w:rPr>
        <w:t>epartment</w:t>
      </w:r>
      <w:r w:rsidRPr="0037658E">
        <w:rPr>
          <w:sz w:val="20"/>
          <w:szCs w:val="20"/>
        </w:rPr>
        <w:t xml:space="preserve">, Speech Language Pathology, </w:t>
      </w:r>
      <w:proofErr w:type="spellStart"/>
      <w:r w:rsidRPr="0037658E">
        <w:rPr>
          <w:sz w:val="20"/>
          <w:szCs w:val="20"/>
        </w:rPr>
        <w:t>Riphah</w:t>
      </w:r>
      <w:proofErr w:type="spellEnd"/>
      <w:r w:rsidRPr="0037658E">
        <w:rPr>
          <w:sz w:val="20"/>
          <w:szCs w:val="20"/>
        </w:rPr>
        <w:t xml:space="preserve"> International University, </w:t>
      </w:r>
      <w:r w:rsidR="0000110E">
        <w:rPr>
          <w:sz w:val="20"/>
          <w:szCs w:val="20"/>
        </w:rPr>
        <w:t>Lahore</w:t>
      </w:r>
    </w:p>
    <w:p w14:paraId="45698946" w14:textId="6D49DB75" w:rsidR="008011E5" w:rsidRPr="005226D8" w:rsidRDefault="005226D8" w:rsidP="00A87F1E">
      <w:pPr>
        <w:spacing w:before="60" w:after="60"/>
        <w:ind w:left="446" w:right="418"/>
        <w:jc w:val="center"/>
        <w:rPr>
          <w:b/>
          <w:bCs/>
          <w:spacing w:val="40"/>
          <w:sz w:val="25"/>
          <w:szCs w:val="25"/>
        </w:rPr>
      </w:pPr>
      <w:r w:rsidRPr="005226D8">
        <w:rPr>
          <w:b/>
          <w:bCs/>
          <w:spacing w:val="40"/>
          <w:sz w:val="25"/>
          <w:szCs w:val="25"/>
        </w:rPr>
        <w:t>ABSTRACT</w:t>
      </w:r>
    </w:p>
    <w:p w14:paraId="5B82D64D" w14:textId="61D2BC9F" w:rsidR="00437E06" w:rsidRPr="005226D8" w:rsidRDefault="008011E5" w:rsidP="00EA75C6">
      <w:pPr>
        <w:pBdr>
          <w:top w:val="single" w:sz="4" w:space="1" w:color="auto" w:shadow="1"/>
          <w:left w:val="single" w:sz="4" w:space="4" w:color="auto" w:shadow="1"/>
          <w:bottom w:val="single" w:sz="4" w:space="1" w:color="auto" w:shadow="1"/>
          <w:right w:val="single" w:sz="4" w:space="4" w:color="auto" w:shadow="1"/>
        </w:pBdr>
        <w:contextualSpacing/>
        <w:jc w:val="both"/>
        <w:rPr>
          <w:rFonts w:cstheme="minorHAnsi"/>
          <w:sz w:val="20"/>
          <w:szCs w:val="20"/>
        </w:rPr>
      </w:pPr>
      <w:r w:rsidRPr="005226D8">
        <w:rPr>
          <w:rFonts w:cstheme="minorHAnsi"/>
          <w:b/>
          <w:bCs/>
          <w:sz w:val="20"/>
          <w:szCs w:val="20"/>
        </w:rPr>
        <w:t>Background:</w:t>
      </w:r>
      <w:r w:rsidR="00EC02E4" w:rsidRPr="005226D8">
        <w:rPr>
          <w:rFonts w:cstheme="minorHAnsi"/>
          <w:sz w:val="20"/>
          <w:szCs w:val="20"/>
        </w:rPr>
        <w:t xml:space="preserve"> </w:t>
      </w:r>
      <w:r w:rsidRPr="005226D8">
        <w:rPr>
          <w:rFonts w:cstheme="minorHAnsi"/>
          <w:sz w:val="20"/>
          <w:szCs w:val="20"/>
        </w:rPr>
        <w:t>Presbycusis is related to degenerative changes of aging resulting from deficient cochlear microcirculation. It is characterized by bilateral, symmetrical, sensorineural hearing loss (SNHL) in which recruitment and speech discrimination is affected in the absence of noise exposure. The objective of this study was to</w:t>
      </w:r>
      <w:r w:rsidR="007C658D" w:rsidRPr="005226D8">
        <w:rPr>
          <w:rFonts w:cstheme="minorHAnsi"/>
          <w:sz w:val="20"/>
          <w:szCs w:val="20"/>
        </w:rPr>
        <w:t xml:space="preserve"> analyze the pure tone audiogram characteristics in Presbycusis</w:t>
      </w:r>
      <w:r w:rsidR="00EC02E4" w:rsidRPr="005226D8">
        <w:rPr>
          <w:rFonts w:cstheme="minorHAnsi"/>
          <w:sz w:val="20"/>
          <w:szCs w:val="20"/>
        </w:rPr>
        <w:t>.</w:t>
      </w:r>
    </w:p>
    <w:p w14:paraId="483F9D57" w14:textId="77777777" w:rsidR="00A84072" w:rsidRDefault="009629F4" w:rsidP="00EA75C6">
      <w:pPr>
        <w:pBdr>
          <w:top w:val="single" w:sz="4" w:space="1" w:color="auto" w:shadow="1"/>
          <w:left w:val="single" w:sz="4" w:space="4" w:color="auto" w:shadow="1"/>
          <w:bottom w:val="single" w:sz="4" w:space="1" w:color="auto" w:shadow="1"/>
          <w:right w:val="single" w:sz="4" w:space="4" w:color="auto" w:shadow="1"/>
        </w:pBdr>
        <w:contextualSpacing/>
        <w:jc w:val="both"/>
        <w:rPr>
          <w:rFonts w:cstheme="minorHAnsi"/>
          <w:sz w:val="20"/>
          <w:szCs w:val="20"/>
        </w:rPr>
      </w:pPr>
      <w:r w:rsidRPr="005226D8">
        <w:rPr>
          <w:rFonts w:cstheme="minorHAnsi"/>
          <w:b/>
          <w:bCs/>
          <w:sz w:val="20"/>
          <w:szCs w:val="20"/>
        </w:rPr>
        <w:t>Method</w:t>
      </w:r>
      <w:r w:rsidR="00774611" w:rsidRPr="005226D8">
        <w:rPr>
          <w:rFonts w:cstheme="minorHAnsi"/>
          <w:b/>
          <w:bCs/>
          <w:sz w:val="20"/>
          <w:szCs w:val="20"/>
        </w:rPr>
        <w:t>s</w:t>
      </w:r>
      <w:r w:rsidRPr="005226D8">
        <w:rPr>
          <w:rFonts w:cstheme="minorHAnsi"/>
          <w:b/>
          <w:bCs/>
          <w:sz w:val="20"/>
          <w:szCs w:val="20"/>
        </w:rPr>
        <w:t>:</w:t>
      </w:r>
      <w:r w:rsidR="00BD0BA2" w:rsidRPr="005226D8">
        <w:rPr>
          <w:rFonts w:cstheme="minorHAnsi"/>
          <w:sz w:val="20"/>
          <w:szCs w:val="20"/>
        </w:rPr>
        <w:t xml:space="preserve"> </w:t>
      </w:r>
      <w:r w:rsidR="00A84072" w:rsidRPr="00A84072">
        <w:rPr>
          <w:rFonts w:cstheme="minorHAnsi"/>
          <w:sz w:val="20"/>
          <w:szCs w:val="20"/>
        </w:rPr>
        <w:t>This descriptive study recruited n=192 cases of presbycusis of both genders, aged 50 to 80 years with convenience sampling technique. The study was conducted at Yusra General Hospital and the National Institute of Rehabilitation Medicine, Islamabad from1st July 2017 to 30th September 2017. Pure tone audiometry was used to collect audiometric data. SPSS-24 was used for data analysis. Chi-square and Pearson’s correlation were used to determine association between variables with p &lt; 0.05 taken as significant.</w:t>
      </w:r>
    </w:p>
    <w:p w14:paraId="52601076" w14:textId="216F5C96" w:rsidR="00E862C8" w:rsidRPr="005226D8" w:rsidRDefault="009629F4" w:rsidP="00EA75C6">
      <w:pPr>
        <w:pBdr>
          <w:top w:val="single" w:sz="4" w:space="1" w:color="auto" w:shadow="1"/>
          <w:left w:val="single" w:sz="4" w:space="4" w:color="auto" w:shadow="1"/>
          <w:bottom w:val="single" w:sz="4" w:space="1" w:color="auto" w:shadow="1"/>
          <w:right w:val="single" w:sz="4" w:space="4" w:color="auto" w:shadow="1"/>
        </w:pBdr>
        <w:contextualSpacing/>
        <w:jc w:val="both"/>
        <w:rPr>
          <w:rFonts w:cstheme="minorHAnsi"/>
          <w:sz w:val="20"/>
          <w:szCs w:val="20"/>
        </w:rPr>
      </w:pPr>
      <w:r w:rsidRPr="005226D8">
        <w:rPr>
          <w:rFonts w:cstheme="minorHAnsi"/>
          <w:b/>
          <w:bCs/>
          <w:sz w:val="20"/>
          <w:szCs w:val="20"/>
        </w:rPr>
        <w:t>Results:</w:t>
      </w:r>
      <w:r w:rsidR="00044B01" w:rsidRPr="005226D8">
        <w:rPr>
          <w:rFonts w:cstheme="minorHAnsi"/>
          <w:sz w:val="20"/>
          <w:szCs w:val="20"/>
        </w:rPr>
        <w:t xml:space="preserve"> </w:t>
      </w:r>
      <w:r w:rsidR="007C658D" w:rsidRPr="005226D8">
        <w:rPr>
          <w:rFonts w:cstheme="minorHAnsi"/>
          <w:sz w:val="20"/>
          <w:szCs w:val="20"/>
        </w:rPr>
        <w:t>Pure tone audiometry revealed 58 (30.2%) right and 65 (33.9%) left ears with high frequency gently sloping audiogram, while the second commonest configuration being high frequency steeply sloping curve in 51(26.6%) right and 52(27.1%) left ears</w:t>
      </w:r>
      <w:r w:rsidR="00CD7403" w:rsidRPr="005226D8">
        <w:rPr>
          <w:rFonts w:cstheme="minorHAnsi"/>
          <w:sz w:val="20"/>
          <w:szCs w:val="20"/>
        </w:rPr>
        <w:t>. There was a</w:t>
      </w:r>
      <w:r w:rsidR="007C658D" w:rsidRPr="005226D8">
        <w:rPr>
          <w:rFonts w:cstheme="minorHAnsi"/>
          <w:sz w:val="20"/>
          <w:szCs w:val="20"/>
        </w:rPr>
        <w:t xml:space="preserve"> significant correlation between </w:t>
      </w:r>
      <w:r w:rsidR="00A548F9" w:rsidRPr="005226D8">
        <w:rPr>
          <w:rFonts w:cstheme="minorHAnsi"/>
          <w:sz w:val="20"/>
          <w:szCs w:val="20"/>
        </w:rPr>
        <w:t xml:space="preserve">the </w:t>
      </w:r>
      <w:r w:rsidR="007C658D" w:rsidRPr="005226D8">
        <w:rPr>
          <w:rFonts w:cstheme="minorHAnsi"/>
          <w:sz w:val="20"/>
          <w:szCs w:val="20"/>
        </w:rPr>
        <w:t xml:space="preserve">configuration of </w:t>
      </w:r>
      <w:r w:rsidR="002A7C20" w:rsidRPr="005226D8">
        <w:rPr>
          <w:rFonts w:cstheme="minorHAnsi"/>
          <w:sz w:val="20"/>
          <w:szCs w:val="20"/>
        </w:rPr>
        <w:t xml:space="preserve">the </w:t>
      </w:r>
      <w:r w:rsidR="007C658D" w:rsidRPr="005226D8">
        <w:rPr>
          <w:rFonts w:cstheme="minorHAnsi"/>
          <w:sz w:val="20"/>
          <w:szCs w:val="20"/>
        </w:rPr>
        <w:t xml:space="preserve">audiogram </w:t>
      </w:r>
      <w:r w:rsidR="00CD7403" w:rsidRPr="005226D8">
        <w:rPr>
          <w:rFonts w:cstheme="minorHAnsi"/>
          <w:sz w:val="20"/>
          <w:szCs w:val="20"/>
        </w:rPr>
        <w:t>and age with p=0.000, while no significant correlation with gender (p=0.71</w:t>
      </w:r>
      <w:r w:rsidR="00B95AED" w:rsidRPr="005226D8">
        <w:rPr>
          <w:rFonts w:cstheme="minorHAnsi"/>
          <w:sz w:val="20"/>
          <w:szCs w:val="20"/>
        </w:rPr>
        <w:t>). The</w:t>
      </w:r>
      <w:r w:rsidR="00A548F9" w:rsidRPr="005226D8">
        <w:rPr>
          <w:rFonts w:cstheme="minorHAnsi"/>
          <w:sz w:val="20"/>
          <w:szCs w:val="20"/>
        </w:rPr>
        <w:t xml:space="preserve"> majority</w:t>
      </w:r>
      <w:r w:rsidR="00CD7403" w:rsidRPr="005226D8">
        <w:rPr>
          <w:rFonts w:cstheme="minorHAnsi"/>
          <w:sz w:val="20"/>
          <w:szCs w:val="20"/>
        </w:rPr>
        <w:t>,</w:t>
      </w:r>
      <w:r w:rsidR="007C658D" w:rsidRPr="005226D8">
        <w:rPr>
          <w:rFonts w:cstheme="minorHAnsi"/>
          <w:sz w:val="20"/>
          <w:szCs w:val="20"/>
        </w:rPr>
        <w:t xml:space="preserve">77 (40.10%) right and 71(36.98%) of left ears had moderately severe </w:t>
      </w:r>
      <w:r w:rsidR="00B20246" w:rsidRPr="005226D8">
        <w:rPr>
          <w:rFonts w:cstheme="minorHAnsi"/>
          <w:sz w:val="20"/>
          <w:szCs w:val="20"/>
        </w:rPr>
        <w:t>hearing loss</w:t>
      </w:r>
      <w:r w:rsidR="007C658D" w:rsidRPr="005226D8">
        <w:rPr>
          <w:rFonts w:cstheme="minorHAnsi"/>
          <w:sz w:val="20"/>
          <w:szCs w:val="20"/>
        </w:rPr>
        <w:t xml:space="preserve">, while severe </w:t>
      </w:r>
      <w:r w:rsidR="002740AB" w:rsidRPr="005226D8">
        <w:rPr>
          <w:rFonts w:cstheme="minorHAnsi"/>
          <w:sz w:val="20"/>
          <w:szCs w:val="20"/>
        </w:rPr>
        <w:t>hearing loss</w:t>
      </w:r>
      <w:r w:rsidR="007C658D" w:rsidRPr="005226D8">
        <w:rPr>
          <w:rFonts w:cstheme="minorHAnsi"/>
          <w:sz w:val="20"/>
          <w:szCs w:val="20"/>
        </w:rPr>
        <w:t xml:space="preserve"> was second commonest with 60(31.25%) right and 70(36.46%) left ears affected. </w:t>
      </w:r>
      <w:r w:rsidR="00A548F9" w:rsidRPr="005226D8">
        <w:rPr>
          <w:rFonts w:cstheme="minorHAnsi"/>
          <w:sz w:val="20"/>
          <w:szCs w:val="20"/>
        </w:rPr>
        <w:t>The severity</w:t>
      </w:r>
      <w:r w:rsidR="00CD7403" w:rsidRPr="005226D8">
        <w:rPr>
          <w:rFonts w:cstheme="minorHAnsi"/>
          <w:sz w:val="20"/>
          <w:szCs w:val="20"/>
        </w:rPr>
        <w:t xml:space="preserve"> of </w:t>
      </w:r>
      <w:r w:rsidR="002740AB" w:rsidRPr="005226D8">
        <w:rPr>
          <w:rFonts w:cstheme="minorHAnsi"/>
          <w:sz w:val="20"/>
          <w:szCs w:val="20"/>
        </w:rPr>
        <w:t>hearing loss</w:t>
      </w:r>
      <w:r w:rsidR="00CD7403" w:rsidRPr="005226D8">
        <w:rPr>
          <w:rFonts w:cstheme="minorHAnsi"/>
          <w:sz w:val="20"/>
          <w:szCs w:val="20"/>
        </w:rPr>
        <w:t xml:space="preserve"> had a </w:t>
      </w:r>
      <w:r w:rsidR="007C658D" w:rsidRPr="005226D8">
        <w:rPr>
          <w:rFonts w:cstheme="minorHAnsi"/>
          <w:sz w:val="20"/>
          <w:szCs w:val="20"/>
        </w:rPr>
        <w:t>significant (P=0.000</w:t>
      </w:r>
      <w:r w:rsidR="00CD7403" w:rsidRPr="005226D8">
        <w:rPr>
          <w:rFonts w:cstheme="minorHAnsi"/>
          <w:sz w:val="20"/>
          <w:szCs w:val="20"/>
        </w:rPr>
        <w:t xml:space="preserve">) positive correlation </w:t>
      </w:r>
      <w:r w:rsidR="007C658D" w:rsidRPr="005226D8">
        <w:rPr>
          <w:rFonts w:cstheme="minorHAnsi"/>
          <w:sz w:val="20"/>
          <w:szCs w:val="20"/>
        </w:rPr>
        <w:t xml:space="preserve">with age </w:t>
      </w:r>
      <w:r w:rsidR="00CD7403" w:rsidRPr="005226D8">
        <w:rPr>
          <w:rFonts w:cstheme="minorHAnsi"/>
          <w:sz w:val="20"/>
          <w:szCs w:val="20"/>
        </w:rPr>
        <w:t>but</w:t>
      </w:r>
      <w:r w:rsidR="007C658D" w:rsidRPr="005226D8">
        <w:rPr>
          <w:rFonts w:cstheme="minorHAnsi"/>
          <w:sz w:val="20"/>
          <w:szCs w:val="20"/>
        </w:rPr>
        <w:t xml:space="preserve"> no significant relationship </w:t>
      </w:r>
      <w:r w:rsidR="00CD7403" w:rsidRPr="005226D8">
        <w:rPr>
          <w:rFonts w:cstheme="minorHAnsi"/>
          <w:sz w:val="20"/>
          <w:szCs w:val="20"/>
        </w:rPr>
        <w:t>with</w:t>
      </w:r>
      <w:r w:rsidR="007C658D" w:rsidRPr="005226D8">
        <w:rPr>
          <w:rFonts w:cstheme="minorHAnsi"/>
          <w:sz w:val="20"/>
          <w:szCs w:val="20"/>
        </w:rPr>
        <w:t xml:space="preserve"> gender.</w:t>
      </w:r>
    </w:p>
    <w:p w14:paraId="136CE293" w14:textId="7D68731A" w:rsidR="00B026FD" w:rsidRPr="005226D8" w:rsidRDefault="009629F4" w:rsidP="00EA75C6">
      <w:pPr>
        <w:pBdr>
          <w:top w:val="single" w:sz="4" w:space="1" w:color="auto" w:shadow="1"/>
          <w:left w:val="single" w:sz="4" w:space="4" w:color="auto" w:shadow="1"/>
          <w:bottom w:val="single" w:sz="4" w:space="1" w:color="auto" w:shadow="1"/>
          <w:right w:val="single" w:sz="4" w:space="4" w:color="auto" w:shadow="1"/>
        </w:pBdr>
        <w:contextualSpacing/>
        <w:jc w:val="both"/>
        <w:rPr>
          <w:rFonts w:cstheme="minorHAnsi"/>
          <w:sz w:val="20"/>
          <w:szCs w:val="20"/>
        </w:rPr>
      </w:pPr>
      <w:r w:rsidRPr="005226D8">
        <w:rPr>
          <w:rFonts w:cstheme="minorHAnsi"/>
          <w:b/>
          <w:bCs/>
          <w:sz w:val="20"/>
          <w:szCs w:val="20"/>
        </w:rPr>
        <w:t>Conclusion:</w:t>
      </w:r>
      <w:r w:rsidR="00EC02E4" w:rsidRPr="005226D8">
        <w:rPr>
          <w:rFonts w:cstheme="minorHAnsi"/>
          <w:sz w:val="20"/>
          <w:szCs w:val="20"/>
        </w:rPr>
        <w:t xml:space="preserve"> </w:t>
      </w:r>
      <w:r w:rsidR="00311F21" w:rsidRPr="005226D8">
        <w:rPr>
          <w:rFonts w:cstheme="minorHAnsi"/>
          <w:sz w:val="20"/>
          <w:szCs w:val="20"/>
        </w:rPr>
        <w:t xml:space="preserve"> </w:t>
      </w:r>
      <w:r w:rsidR="007C658D" w:rsidRPr="005226D8">
        <w:rPr>
          <w:rFonts w:cstheme="minorHAnsi"/>
          <w:sz w:val="20"/>
          <w:szCs w:val="20"/>
        </w:rPr>
        <w:t xml:space="preserve">High frequency gently sloping audiogram was </w:t>
      </w:r>
      <w:r w:rsidR="00F03F3D" w:rsidRPr="005226D8">
        <w:rPr>
          <w:rFonts w:cstheme="minorHAnsi"/>
          <w:sz w:val="20"/>
          <w:szCs w:val="20"/>
        </w:rPr>
        <w:t xml:space="preserve">the </w:t>
      </w:r>
      <w:r w:rsidR="007C658D" w:rsidRPr="005226D8">
        <w:rPr>
          <w:rFonts w:cstheme="minorHAnsi"/>
          <w:sz w:val="20"/>
          <w:szCs w:val="20"/>
        </w:rPr>
        <w:t xml:space="preserve">commonest configuration followed by high frequency steeply sloping curve. Moderately severe </w:t>
      </w:r>
      <w:r w:rsidR="00702C35" w:rsidRPr="005226D8">
        <w:rPr>
          <w:rFonts w:cstheme="minorHAnsi"/>
          <w:sz w:val="20"/>
          <w:szCs w:val="20"/>
        </w:rPr>
        <w:t>hearing loss</w:t>
      </w:r>
      <w:r w:rsidR="007C658D" w:rsidRPr="005226D8">
        <w:rPr>
          <w:rFonts w:cstheme="minorHAnsi"/>
          <w:sz w:val="20"/>
          <w:szCs w:val="20"/>
        </w:rPr>
        <w:t xml:space="preserve"> </w:t>
      </w:r>
      <w:r w:rsidR="00702C35" w:rsidRPr="005226D8">
        <w:rPr>
          <w:rFonts w:cstheme="minorHAnsi"/>
          <w:sz w:val="20"/>
          <w:szCs w:val="20"/>
        </w:rPr>
        <w:t>was</w:t>
      </w:r>
      <w:r w:rsidR="00026C95" w:rsidRPr="005226D8">
        <w:rPr>
          <w:rFonts w:cstheme="minorHAnsi"/>
          <w:sz w:val="20"/>
          <w:szCs w:val="20"/>
        </w:rPr>
        <w:t xml:space="preserve"> </w:t>
      </w:r>
      <w:r w:rsidR="00B20246" w:rsidRPr="005226D8">
        <w:rPr>
          <w:rFonts w:cstheme="minorHAnsi"/>
          <w:sz w:val="20"/>
          <w:szCs w:val="20"/>
        </w:rPr>
        <w:t xml:space="preserve">most commonly seen </w:t>
      </w:r>
      <w:r w:rsidR="007C658D" w:rsidRPr="005226D8">
        <w:rPr>
          <w:rFonts w:cstheme="minorHAnsi"/>
          <w:sz w:val="20"/>
          <w:szCs w:val="20"/>
        </w:rPr>
        <w:t xml:space="preserve">followed by severe </w:t>
      </w:r>
      <w:r w:rsidR="00702C35" w:rsidRPr="005226D8">
        <w:rPr>
          <w:rFonts w:cstheme="minorHAnsi"/>
          <w:sz w:val="20"/>
          <w:szCs w:val="20"/>
        </w:rPr>
        <w:t>hearing loss</w:t>
      </w:r>
      <w:r w:rsidR="007C658D" w:rsidRPr="005226D8">
        <w:rPr>
          <w:rFonts w:cstheme="minorHAnsi"/>
          <w:sz w:val="20"/>
          <w:szCs w:val="20"/>
        </w:rPr>
        <w:t>.</w:t>
      </w:r>
    </w:p>
    <w:p w14:paraId="7E8E024B" w14:textId="0745FB90" w:rsidR="00553949" w:rsidRPr="005226D8" w:rsidRDefault="009629F4" w:rsidP="00EA75C6">
      <w:pPr>
        <w:pBdr>
          <w:top w:val="single" w:sz="4" w:space="1" w:color="auto" w:shadow="1"/>
          <w:left w:val="single" w:sz="4" w:space="4" w:color="auto" w:shadow="1"/>
          <w:bottom w:val="single" w:sz="4" w:space="1" w:color="auto" w:shadow="1"/>
          <w:right w:val="single" w:sz="4" w:space="4" w:color="auto" w:shadow="1"/>
        </w:pBdr>
        <w:contextualSpacing/>
        <w:jc w:val="both"/>
        <w:rPr>
          <w:rFonts w:cstheme="minorHAnsi"/>
          <w:sz w:val="20"/>
          <w:szCs w:val="20"/>
        </w:rPr>
      </w:pPr>
      <w:r w:rsidRPr="005226D8">
        <w:rPr>
          <w:rFonts w:cstheme="minorHAnsi"/>
          <w:b/>
          <w:bCs/>
          <w:sz w:val="20"/>
          <w:szCs w:val="20"/>
        </w:rPr>
        <w:t>Key Words:</w:t>
      </w:r>
      <w:r w:rsidRPr="005226D8">
        <w:rPr>
          <w:rFonts w:cstheme="minorHAnsi"/>
          <w:sz w:val="20"/>
          <w:szCs w:val="20"/>
        </w:rPr>
        <w:t xml:space="preserve"> </w:t>
      </w:r>
      <w:r w:rsidR="007C658D" w:rsidRPr="005226D8">
        <w:rPr>
          <w:rFonts w:cstheme="minorHAnsi"/>
          <w:sz w:val="20"/>
          <w:szCs w:val="20"/>
        </w:rPr>
        <w:t>Audiogram, Aging, Hearing loss, Presbycusis</w:t>
      </w:r>
      <w:r w:rsidR="00A84072">
        <w:rPr>
          <w:rFonts w:cstheme="minorHAnsi"/>
          <w:sz w:val="20"/>
          <w:szCs w:val="20"/>
        </w:rPr>
        <w:t>.</w:t>
      </w:r>
    </w:p>
    <w:tbl>
      <w:tblPr>
        <w:tblW w:w="9815" w:type="dxa"/>
        <w:tblInd w:w="-95" w:type="dxa"/>
        <w:tblBorders>
          <w:bottom w:val="single" w:sz="12" w:space="0" w:color="auto"/>
        </w:tblBorders>
        <w:tblLook w:val="04A0" w:firstRow="1" w:lastRow="0" w:firstColumn="1" w:lastColumn="0" w:noHBand="0" w:noVBand="1"/>
      </w:tblPr>
      <w:tblGrid>
        <w:gridCol w:w="3522"/>
        <w:gridCol w:w="3640"/>
        <w:gridCol w:w="2653"/>
      </w:tblGrid>
      <w:tr w:rsidR="005226D8" w:rsidRPr="007944E8" w14:paraId="0F3C7160" w14:textId="77777777" w:rsidTr="008D17B8">
        <w:trPr>
          <w:trHeight w:val="918"/>
        </w:trPr>
        <w:tc>
          <w:tcPr>
            <w:tcW w:w="3522" w:type="dxa"/>
            <w:shd w:val="clear" w:color="auto" w:fill="auto"/>
          </w:tcPr>
          <w:p w14:paraId="5B81774B" w14:textId="77777777" w:rsidR="005226D8" w:rsidRPr="00357903" w:rsidRDefault="005226D8" w:rsidP="008D17B8">
            <w:pPr>
              <w:shd w:val="clear" w:color="auto" w:fill="D9D9D9"/>
              <w:spacing w:after="0" w:line="240" w:lineRule="auto"/>
              <w:ind w:left="75" w:right="-2"/>
              <w:rPr>
                <w:rFonts w:cs="Calibri"/>
                <w:sz w:val="18"/>
                <w:szCs w:val="18"/>
              </w:rPr>
            </w:pPr>
            <w:r w:rsidRPr="00357903">
              <w:rPr>
                <w:rFonts w:cs="Calibri"/>
                <w:sz w:val="18"/>
                <w:szCs w:val="18"/>
              </w:rPr>
              <w:t>Authors’ Contribution:</w:t>
            </w:r>
          </w:p>
          <w:p w14:paraId="10CA6C3D" w14:textId="0A521968" w:rsidR="005226D8" w:rsidRPr="00357903" w:rsidRDefault="008B1AD6" w:rsidP="008D17B8">
            <w:pPr>
              <w:spacing w:after="0" w:line="240" w:lineRule="auto"/>
              <w:ind w:left="75"/>
              <w:rPr>
                <w:rFonts w:cs="Calibri"/>
                <w:i/>
                <w:sz w:val="18"/>
                <w:szCs w:val="19"/>
              </w:rPr>
            </w:pPr>
            <w:r>
              <w:rPr>
                <w:rFonts w:cs="Calibri"/>
                <w:i/>
                <w:sz w:val="18"/>
                <w:szCs w:val="19"/>
                <w:vertAlign w:val="superscript"/>
              </w:rPr>
              <w:t>3</w:t>
            </w:r>
            <w:r w:rsidR="005226D8" w:rsidRPr="007944E8">
              <w:rPr>
                <w:rFonts w:cs="Calibri"/>
                <w:i/>
                <w:sz w:val="18"/>
                <w:szCs w:val="19"/>
              </w:rPr>
              <w:t>Conception</w:t>
            </w:r>
            <w:r w:rsidR="005226D8">
              <w:rPr>
                <w:rFonts w:cs="Calibri"/>
                <w:i/>
                <w:sz w:val="18"/>
                <w:szCs w:val="19"/>
              </w:rPr>
              <w:t xml:space="preserve">; </w:t>
            </w:r>
            <w:r>
              <w:rPr>
                <w:rFonts w:cs="Calibri"/>
                <w:i/>
                <w:sz w:val="18"/>
                <w:szCs w:val="19"/>
                <w:vertAlign w:val="superscript"/>
              </w:rPr>
              <w:t>1</w:t>
            </w:r>
            <w:r w:rsidR="005226D8">
              <w:rPr>
                <w:rFonts w:cs="Calibri"/>
                <w:i/>
                <w:sz w:val="18"/>
                <w:szCs w:val="19"/>
              </w:rPr>
              <w:t>Literature</w:t>
            </w:r>
            <w:r w:rsidR="005226D8" w:rsidRPr="007944E8">
              <w:rPr>
                <w:rFonts w:cs="Calibri"/>
                <w:i/>
                <w:sz w:val="18"/>
                <w:szCs w:val="19"/>
              </w:rPr>
              <w:t xml:space="preserve"> research</w:t>
            </w:r>
            <w:r w:rsidR="005226D8">
              <w:rPr>
                <w:rFonts w:cs="Calibri"/>
                <w:i/>
                <w:sz w:val="18"/>
                <w:szCs w:val="19"/>
              </w:rPr>
              <w:t>;</w:t>
            </w:r>
            <w:r w:rsidR="005226D8" w:rsidRPr="007944E8">
              <w:rPr>
                <w:rFonts w:cs="Calibri"/>
                <w:i/>
                <w:sz w:val="18"/>
                <w:szCs w:val="19"/>
              </w:rPr>
              <w:t xml:space="preserve"> manuscript</w:t>
            </w:r>
            <w:r w:rsidR="005226D8">
              <w:rPr>
                <w:rFonts w:cs="Calibri"/>
                <w:i/>
                <w:sz w:val="18"/>
                <w:szCs w:val="19"/>
              </w:rPr>
              <w:t xml:space="preserve"> design and drafting;</w:t>
            </w:r>
            <w:r w:rsidR="005226D8" w:rsidRPr="007944E8">
              <w:rPr>
                <w:rFonts w:cs="Calibri"/>
                <w:i/>
                <w:sz w:val="18"/>
                <w:szCs w:val="19"/>
              </w:rPr>
              <w:t xml:space="preserve"> </w:t>
            </w:r>
            <w:r w:rsidR="00A43382">
              <w:rPr>
                <w:rFonts w:cs="Calibri"/>
                <w:i/>
                <w:sz w:val="18"/>
                <w:szCs w:val="19"/>
                <w:vertAlign w:val="superscript"/>
              </w:rPr>
              <w:t>3</w:t>
            </w:r>
            <w:r w:rsidR="005226D8">
              <w:rPr>
                <w:rFonts w:cs="Calibri"/>
                <w:i/>
                <w:sz w:val="18"/>
                <w:szCs w:val="19"/>
                <w:vertAlign w:val="superscript"/>
              </w:rPr>
              <w:t xml:space="preserve"> </w:t>
            </w:r>
            <w:r w:rsidR="005226D8">
              <w:rPr>
                <w:rFonts w:cs="Calibri"/>
                <w:i/>
                <w:sz w:val="18"/>
                <w:szCs w:val="19"/>
              </w:rPr>
              <w:t>Critical analysis and manuscript review;</w:t>
            </w:r>
            <w:r w:rsidR="005226D8" w:rsidRPr="007944E8">
              <w:rPr>
                <w:rFonts w:cs="Calibri"/>
                <w:i/>
                <w:sz w:val="18"/>
                <w:szCs w:val="19"/>
              </w:rPr>
              <w:t xml:space="preserve"> </w:t>
            </w:r>
            <w:r w:rsidR="00A43382">
              <w:rPr>
                <w:rFonts w:cs="Calibri"/>
                <w:i/>
                <w:sz w:val="18"/>
                <w:szCs w:val="19"/>
                <w:vertAlign w:val="superscript"/>
              </w:rPr>
              <w:t>2</w:t>
            </w:r>
            <w:r w:rsidR="005226D8">
              <w:rPr>
                <w:rFonts w:cs="Calibri"/>
                <w:i/>
                <w:sz w:val="18"/>
                <w:szCs w:val="19"/>
              </w:rPr>
              <w:t>Data analysis; Manuscript Editing</w:t>
            </w:r>
            <w:r w:rsidR="005226D8" w:rsidRPr="00357903">
              <w:rPr>
                <w:rFonts w:cs="Calibri"/>
                <w:i/>
                <w:sz w:val="18"/>
                <w:szCs w:val="19"/>
              </w:rPr>
              <w:t>.</w:t>
            </w:r>
          </w:p>
        </w:tc>
        <w:tc>
          <w:tcPr>
            <w:tcW w:w="3640" w:type="dxa"/>
            <w:shd w:val="clear" w:color="auto" w:fill="auto"/>
          </w:tcPr>
          <w:p w14:paraId="40A71A88" w14:textId="77777777" w:rsidR="005226D8" w:rsidRPr="007944E8" w:rsidRDefault="005226D8" w:rsidP="008D17B8">
            <w:pPr>
              <w:shd w:val="clear" w:color="auto" w:fill="D9D9D9"/>
              <w:spacing w:after="0" w:line="240" w:lineRule="auto"/>
              <w:ind w:left="-30" w:right="-2" w:firstLine="30"/>
              <w:rPr>
                <w:rFonts w:cs="Calibri"/>
                <w:sz w:val="18"/>
                <w:szCs w:val="18"/>
              </w:rPr>
            </w:pPr>
            <w:r w:rsidRPr="007944E8">
              <w:rPr>
                <w:rFonts w:cs="Calibri"/>
                <w:sz w:val="18"/>
                <w:szCs w:val="18"/>
              </w:rPr>
              <w:t>Correspondence:</w:t>
            </w:r>
          </w:p>
          <w:p w14:paraId="65B199FD" w14:textId="01AF4081" w:rsidR="005226D8" w:rsidRDefault="00F7218A" w:rsidP="008D17B8">
            <w:pPr>
              <w:spacing w:after="0" w:line="240" w:lineRule="auto"/>
              <w:ind w:left="-30" w:firstLine="30"/>
              <w:rPr>
                <w:rFonts w:cs="Calibri"/>
                <w:i/>
                <w:sz w:val="18"/>
                <w:szCs w:val="19"/>
              </w:rPr>
            </w:pPr>
            <w:r>
              <w:rPr>
                <w:rFonts w:cs="Calibri"/>
                <w:i/>
                <w:sz w:val="18"/>
                <w:szCs w:val="19"/>
              </w:rPr>
              <w:t xml:space="preserve">Ghulam </w:t>
            </w:r>
            <w:proofErr w:type="spellStart"/>
            <w:r>
              <w:rPr>
                <w:rFonts w:cs="Calibri"/>
                <w:i/>
                <w:sz w:val="18"/>
                <w:szCs w:val="19"/>
              </w:rPr>
              <w:t>Saqulain</w:t>
            </w:r>
            <w:proofErr w:type="spellEnd"/>
          </w:p>
          <w:p w14:paraId="696D5CCB" w14:textId="6B45363D" w:rsidR="005226D8" w:rsidRPr="007944E8" w:rsidRDefault="005226D8" w:rsidP="008D17B8">
            <w:pPr>
              <w:spacing w:after="0" w:line="240" w:lineRule="auto"/>
              <w:ind w:left="-30" w:firstLine="30"/>
              <w:rPr>
                <w:rFonts w:cs="Calibri"/>
                <w:i/>
                <w:iCs/>
                <w:sz w:val="19"/>
                <w:szCs w:val="19"/>
              </w:rPr>
            </w:pPr>
            <w:r w:rsidRPr="007944E8">
              <w:rPr>
                <w:rFonts w:cs="Calibri"/>
                <w:i/>
                <w:sz w:val="18"/>
                <w:szCs w:val="19"/>
              </w:rPr>
              <w:t xml:space="preserve">Email: </w:t>
            </w:r>
            <w:r w:rsidR="00147778" w:rsidRPr="00147778">
              <w:rPr>
                <w:rFonts w:cs="Calibri"/>
                <w:i/>
                <w:sz w:val="18"/>
                <w:szCs w:val="19"/>
              </w:rPr>
              <w:t>ghulam_saqulain@yahoo.com</w:t>
            </w:r>
          </w:p>
        </w:tc>
        <w:tc>
          <w:tcPr>
            <w:tcW w:w="2653" w:type="dxa"/>
            <w:shd w:val="clear" w:color="auto" w:fill="auto"/>
          </w:tcPr>
          <w:p w14:paraId="238DC871" w14:textId="77777777" w:rsidR="005226D8" w:rsidRPr="007944E8" w:rsidRDefault="005226D8" w:rsidP="008D17B8">
            <w:pPr>
              <w:shd w:val="clear" w:color="auto" w:fill="D9D9D9"/>
              <w:spacing w:after="0" w:line="240" w:lineRule="auto"/>
              <w:ind w:left="-30" w:right="-2" w:firstLine="30"/>
              <w:rPr>
                <w:rFonts w:cs="Calibri"/>
                <w:sz w:val="18"/>
                <w:szCs w:val="18"/>
              </w:rPr>
            </w:pPr>
            <w:r w:rsidRPr="007944E8">
              <w:rPr>
                <w:rFonts w:cs="Calibri"/>
                <w:sz w:val="18"/>
                <w:szCs w:val="18"/>
              </w:rPr>
              <w:t>Article info:</w:t>
            </w:r>
          </w:p>
          <w:p w14:paraId="114F51B9" w14:textId="2734D043" w:rsidR="005226D8" w:rsidRPr="007944E8" w:rsidRDefault="005226D8" w:rsidP="008D17B8">
            <w:pPr>
              <w:spacing w:after="0" w:line="240" w:lineRule="auto"/>
              <w:ind w:left="-30" w:firstLine="30"/>
              <w:rPr>
                <w:rFonts w:cs="Calibri"/>
                <w:i/>
                <w:sz w:val="18"/>
                <w:szCs w:val="19"/>
              </w:rPr>
            </w:pPr>
            <w:r w:rsidRPr="007944E8">
              <w:rPr>
                <w:rFonts w:cs="Calibri"/>
                <w:i/>
                <w:sz w:val="18"/>
                <w:szCs w:val="19"/>
              </w:rPr>
              <w:t xml:space="preserve">Received:  </w:t>
            </w:r>
            <w:r w:rsidR="00F75B1E">
              <w:rPr>
                <w:rFonts w:cs="Calibri"/>
                <w:i/>
                <w:sz w:val="18"/>
                <w:szCs w:val="19"/>
              </w:rPr>
              <w:t>April 30</w:t>
            </w:r>
            <w:r w:rsidRPr="007944E8">
              <w:rPr>
                <w:rFonts w:cs="Calibri"/>
                <w:i/>
                <w:sz w:val="18"/>
                <w:szCs w:val="19"/>
              </w:rPr>
              <w:t>, 20</w:t>
            </w:r>
            <w:r w:rsidR="00F75B1E">
              <w:rPr>
                <w:rFonts w:cs="Calibri"/>
                <w:i/>
                <w:sz w:val="18"/>
                <w:szCs w:val="19"/>
              </w:rPr>
              <w:t>20</w:t>
            </w:r>
          </w:p>
          <w:p w14:paraId="2AFEE24D" w14:textId="39FB5820" w:rsidR="005226D8" w:rsidRPr="007944E8" w:rsidRDefault="005226D8" w:rsidP="008D17B8">
            <w:pPr>
              <w:spacing w:after="0" w:line="240" w:lineRule="auto"/>
              <w:ind w:left="-30" w:firstLine="30"/>
              <w:rPr>
                <w:rFonts w:cs="Calibri"/>
                <w:i/>
                <w:sz w:val="16"/>
                <w:szCs w:val="18"/>
              </w:rPr>
            </w:pPr>
            <w:r w:rsidRPr="007944E8">
              <w:rPr>
                <w:rFonts w:cs="Calibri"/>
                <w:i/>
                <w:sz w:val="18"/>
                <w:szCs w:val="19"/>
              </w:rPr>
              <w:t xml:space="preserve">Accepted: </w:t>
            </w:r>
            <w:r>
              <w:rPr>
                <w:rFonts w:cs="Calibri"/>
                <w:i/>
                <w:sz w:val="18"/>
                <w:szCs w:val="19"/>
              </w:rPr>
              <w:t xml:space="preserve">September </w:t>
            </w:r>
            <w:r w:rsidR="00F75B1E">
              <w:rPr>
                <w:rFonts w:cs="Calibri"/>
                <w:i/>
                <w:sz w:val="18"/>
                <w:szCs w:val="19"/>
              </w:rPr>
              <w:t>10</w:t>
            </w:r>
            <w:r w:rsidRPr="007944E8">
              <w:rPr>
                <w:rFonts w:cs="Calibri"/>
                <w:i/>
                <w:sz w:val="18"/>
                <w:szCs w:val="19"/>
              </w:rPr>
              <w:t>, 202</w:t>
            </w:r>
            <w:r>
              <w:rPr>
                <w:rFonts w:cs="Calibri"/>
                <w:i/>
                <w:sz w:val="18"/>
                <w:szCs w:val="19"/>
              </w:rPr>
              <w:t>1</w:t>
            </w:r>
          </w:p>
        </w:tc>
      </w:tr>
    </w:tbl>
    <w:p w14:paraId="0A86847E" w14:textId="77777777" w:rsidR="005226D8" w:rsidRDefault="005226D8" w:rsidP="005226D8">
      <w:pPr>
        <w:spacing w:after="0" w:line="240" w:lineRule="auto"/>
        <w:ind w:left="-180" w:right="-108"/>
        <w:rPr>
          <w:rFonts w:cs="Calibri"/>
          <w:b/>
          <w:i/>
          <w:sz w:val="18"/>
          <w:szCs w:val="18"/>
        </w:rPr>
        <w:sectPr w:rsidR="005226D8" w:rsidSect="00F04B4E">
          <w:footerReference w:type="default" r:id="rId9"/>
          <w:pgSz w:w="12240" w:h="15840"/>
          <w:pgMar w:top="1296" w:right="1296" w:bottom="1296" w:left="1296" w:header="576" w:footer="576" w:gutter="0"/>
          <w:pgNumType w:start="169"/>
          <w:cols w:space="720"/>
          <w:docGrid w:linePitch="360"/>
        </w:sectPr>
      </w:pPr>
    </w:p>
    <w:p w14:paraId="2651A43F" w14:textId="5433296D" w:rsidR="005226D8" w:rsidRDefault="005226D8" w:rsidP="009B0B8E">
      <w:pPr>
        <w:spacing w:after="0" w:line="240" w:lineRule="auto"/>
        <w:ind w:right="-108"/>
        <w:rPr>
          <w:rFonts w:cs="Calibri"/>
          <w:i/>
          <w:sz w:val="18"/>
          <w:szCs w:val="18"/>
        </w:rPr>
      </w:pPr>
      <w:r w:rsidRPr="007944E8">
        <w:rPr>
          <w:rFonts w:cs="Calibri"/>
          <w:b/>
          <w:i/>
          <w:sz w:val="18"/>
          <w:szCs w:val="18"/>
        </w:rPr>
        <w:t>Cite this article</w:t>
      </w:r>
      <w:r w:rsidRPr="007944E8">
        <w:rPr>
          <w:rFonts w:cs="Calibri"/>
          <w:i/>
          <w:sz w:val="18"/>
          <w:szCs w:val="18"/>
        </w:rPr>
        <w:t xml:space="preserve">. </w:t>
      </w:r>
      <w:proofErr w:type="spellStart"/>
      <w:r w:rsidR="003E2412">
        <w:rPr>
          <w:rFonts w:cs="Calibri"/>
          <w:i/>
          <w:sz w:val="18"/>
          <w:szCs w:val="18"/>
        </w:rPr>
        <w:t>Saqulain</w:t>
      </w:r>
      <w:proofErr w:type="spellEnd"/>
      <w:r w:rsidR="003E2412">
        <w:rPr>
          <w:rFonts w:cs="Calibri"/>
          <w:i/>
          <w:sz w:val="18"/>
          <w:szCs w:val="18"/>
        </w:rPr>
        <w:t xml:space="preserve"> G</w:t>
      </w:r>
      <w:r w:rsidRPr="00FD6D69">
        <w:rPr>
          <w:rFonts w:cs="Calibri"/>
          <w:i/>
          <w:sz w:val="18"/>
          <w:szCs w:val="18"/>
        </w:rPr>
        <w:t xml:space="preserve">, </w:t>
      </w:r>
      <w:r w:rsidR="00A87F1E">
        <w:rPr>
          <w:rFonts w:cs="Calibri"/>
          <w:i/>
          <w:sz w:val="18"/>
          <w:szCs w:val="18"/>
        </w:rPr>
        <w:t>Gul-e-Zahra</w:t>
      </w:r>
      <w:r w:rsidRPr="00FD6D69">
        <w:rPr>
          <w:rFonts w:cs="Calibri"/>
          <w:i/>
          <w:sz w:val="18"/>
          <w:szCs w:val="18"/>
        </w:rPr>
        <w:t xml:space="preserve">, </w:t>
      </w:r>
      <w:r w:rsidR="00A87F1E">
        <w:rPr>
          <w:rFonts w:cs="Calibri"/>
          <w:i/>
          <w:sz w:val="18"/>
          <w:szCs w:val="18"/>
        </w:rPr>
        <w:t>Mumtaz</w:t>
      </w:r>
      <w:r>
        <w:rPr>
          <w:rFonts w:cs="Calibri"/>
          <w:i/>
          <w:sz w:val="18"/>
          <w:szCs w:val="18"/>
        </w:rPr>
        <w:t xml:space="preserve"> N</w:t>
      </w:r>
      <w:r w:rsidRPr="00FD6D69">
        <w:rPr>
          <w:rFonts w:cs="Calibri"/>
          <w:i/>
          <w:sz w:val="18"/>
          <w:szCs w:val="18"/>
        </w:rPr>
        <w:t xml:space="preserve">. </w:t>
      </w:r>
      <w:r w:rsidR="00A87F1E" w:rsidRPr="00F75B1E">
        <w:rPr>
          <w:rFonts w:cs="Calibri"/>
          <w:i/>
          <w:sz w:val="18"/>
          <w:szCs w:val="18"/>
        </w:rPr>
        <w:t>Audiometric characteristics of presbycusis: a hospital-based study</w:t>
      </w:r>
      <w:r w:rsidRPr="00F75B1E">
        <w:rPr>
          <w:rFonts w:cs="Calibri"/>
          <w:i/>
          <w:sz w:val="18"/>
          <w:szCs w:val="18"/>
        </w:rPr>
        <w:t xml:space="preserve">. J Islamabad Med Dental Coll. </w:t>
      </w:r>
      <w:r w:rsidRPr="00FD6D69">
        <w:rPr>
          <w:rFonts w:cs="Calibri"/>
          <w:i/>
          <w:sz w:val="18"/>
          <w:szCs w:val="18"/>
        </w:rPr>
        <w:t>2021; 10(</w:t>
      </w:r>
      <w:r>
        <w:rPr>
          <w:rFonts w:cs="Calibri"/>
          <w:i/>
          <w:sz w:val="18"/>
          <w:szCs w:val="18"/>
        </w:rPr>
        <w:t>3</w:t>
      </w:r>
      <w:r w:rsidRPr="00FD6D69">
        <w:rPr>
          <w:rFonts w:cs="Calibri"/>
          <w:i/>
          <w:sz w:val="18"/>
          <w:szCs w:val="18"/>
        </w:rPr>
        <w:t xml:space="preserve">): </w:t>
      </w:r>
    </w:p>
    <w:p w14:paraId="65E1AE7A" w14:textId="1DEF5A8F" w:rsidR="00F7218A" w:rsidRDefault="00F7218A" w:rsidP="009B0B8E">
      <w:pPr>
        <w:spacing w:after="0" w:line="240" w:lineRule="auto"/>
        <w:ind w:right="-108"/>
        <w:rPr>
          <w:rFonts w:cs="Calibri"/>
          <w:i/>
          <w:sz w:val="18"/>
          <w:szCs w:val="18"/>
        </w:rPr>
      </w:pPr>
    </w:p>
    <w:p w14:paraId="0271EA6F" w14:textId="77777777" w:rsidR="00F7218A" w:rsidRDefault="00F7218A" w:rsidP="009B0B8E">
      <w:pPr>
        <w:spacing w:after="0" w:line="240" w:lineRule="auto"/>
        <w:ind w:right="-108"/>
        <w:rPr>
          <w:rFonts w:cs="Calibri"/>
          <w:i/>
          <w:sz w:val="18"/>
          <w:szCs w:val="18"/>
        </w:rPr>
      </w:pPr>
    </w:p>
    <w:p w14:paraId="2516CA92" w14:textId="77777777" w:rsidR="005226D8" w:rsidRDefault="005226D8" w:rsidP="005226D8">
      <w:pPr>
        <w:tabs>
          <w:tab w:val="left" w:pos="630"/>
        </w:tabs>
        <w:spacing w:after="0" w:line="240" w:lineRule="auto"/>
        <w:ind w:left="-86" w:right="-187"/>
        <w:contextualSpacing/>
        <w:rPr>
          <w:rFonts w:cs="Calibri"/>
          <w:b/>
          <w:i/>
          <w:sz w:val="18"/>
          <w:szCs w:val="19"/>
        </w:rPr>
      </w:pPr>
      <w:r w:rsidRPr="007944E8">
        <w:rPr>
          <w:rFonts w:cs="Calibri"/>
          <w:b/>
          <w:i/>
          <w:sz w:val="18"/>
          <w:szCs w:val="19"/>
        </w:rPr>
        <w:t>Funding Source:</w:t>
      </w:r>
      <w:r w:rsidRPr="007944E8">
        <w:rPr>
          <w:rFonts w:cs="Calibri"/>
          <w:i/>
          <w:sz w:val="18"/>
          <w:szCs w:val="19"/>
        </w:rPr>
        <w:t xml:space="preserve"> Nil</w:t>
      </w:r>
      <w:r w:rsidRPr="007944E8">
        <w:rPr>
          <w:rFonts w:cs="Calibri"/>
          <w:b/>
          <w:i/>
          <w:sz w:val="18"/>
          <w:szCs w:val="19"/>
        </w:rPr>
        <w:t xml:space="preserve"> </w:t>
      </w:r>
    </w:p>
    <w:p w14:paraId="76661A07" w14:textId="77777777" w:rsidR="005226D8" w:rsidRDefault="005226D8" w:rsidP="005226D8">
      <w:pPr>
        <w:tabs>
          <w:tab w:val="left" w:pos="630"/>
        </w:tabs>
        <w:spacing w:after="0" w:line="240" w:lineRule="auto"/>
        <w:ind w:left="-86" w:right="-187"/>
        <w:contextualSpacing/>
        <w:rPr>
          <w:rFonts w:ascii="Times New Roman" w:hAnsi="Times New Roman" w:cs="Times New Roman"/>
          <w:b/>
          <w:sz w:val="24"/>
          <w:szCs w:val="24"/>
        </w:rPr>
      </w:pPr>
      <w:r w:rsidRPr="007944E8">
        <w:rPr>
          <w:rFonts w:cs="Calibri"/>
          <w:b/>
          <w:i/>
          <w:sz w:val="18"/>
          <w:szCs w:val="19"/>
        </w:rPr>
        <w:t>Conflict of Interest:</w:t>
      </w:r>
      <w:r w:rsidRPr="007944E8">
        <w:rPr>
          <w:rFonts w:cs="Calibri"/>
          <w:i/>
          <w:sz w:val="18"/>
          <w:szCs w:val="19"/>
        </w:rPr>
        <w:t xml:space="preserve"> Nil</w:t>
      </w:r>
    </w:p>
    <w:p w14:paraId="5AF419C5" w14:textId="38FCA140" w:rsidR="005226D8" w:rsidRPr="005226D8" w:rsidRDefault="005226D8" w:rsidP="005226D8">
      <w:pPr>
        <w:rPr>
          <w:rFonts w:cstheme="minorHAnsi"/>
          <w:sz w:val="28"/>
          <w:szCs w:val="28"/>
        </w:rPr>
        <w:sectPr w:rsidR="005226D8" w:rsidRPr="005226D8" w:rsidSect="009B0B8E">
          <w:type w:val="continuous"/>
          <w:pgSz w:w="12240" w:h="15840"/>
          <w:pgMar w:top="1296" w:right="1296" w:bottom="1296" w:left="1296" w:header="720" w:footer="720" w:gutter="0"/>
          <w:cols w:num="2" w:space="288" w:equalWidth="0">
            <w:col w:w="6912" w:space="288"/>
            <w:col w:w="2448"/>
          </w:cols>
          <w:docGrid w:linePitch="360"/>
        </w:sectPr>
      </w:pPr>
    </w:p>
    <w:p w14:paraId="1516CC33" w14:textId="76911A0E" w:rsidR="002A7C20" w:rsidRPr="00F7218A" w:rsidRDefault="00B95AED" w:rsidP="00EA75C6">
      <w:pPr>
        <w:pBdr>
          <w:top w:val="single" w:sz="4" w:space="1" w:color="auto"/>
          <w:left w:val="single" w:sz="4" w:space="4" w:color="auto"/>
          <w:bottom w:val="single" w:sz="4" w:space="1" w:color="auto"/>
          <w:right w:val="single" w:sz="4" w:space="4" w:color="auto"/>
        </w:pBdr>
        <w:spacing w:before="60" w:after="60"/>
        <w:ind w:left="446" w:right="418"/>
        <w:jc w:val="center"/>
        <w:rPr>
          <w:rFonts w:cstheme="minorHAnsi"/>
          <w:b/>
          <w:bCs/>
          <w:spacing w:val="40"/>
          <w:sz w:val="28"/>
          <w:szCs w:val="28"/>
        </w:rPr>
      </w:pPr>
      <w:r w:rsidRPr="00F7218A">
        <w:rPr>
          <w:rFonts w:cstheme="minorHAnsi"/>
          <w:b/>
          <w:bCs/>
          <w:spacing w:val="40"/>
          <w:sz w:val="28"/>
          <w:szCs w:val="28"/>
        </w:rPr>
        <w:t>Introduction</w:t>
      </w:r>
    </w:p>
    <w:p w14:paraId="09F6DEC1" w14:textId="77777777" w:rsidR="00787AE9" w:rsidRDefault="00170232" w:rsidP="00B95AED">
      <w:pPr>
        <w:jc w:val="both"/>
        <w:rPr>
          <w:rFonts w:cstheme="minorHAnsi"/>
        </w:rPr>
      </w:pPr>
      <w:r w:rsidRPr="00B95AED">
        <w:rPr>
          <w:rFonts w:cstheme="minorHAnsi"/>
        </w:rPr>
        <w:t xml:space="preserve">Presbycusis is the general term applied to </w:t>
      </w:r>
      <w:r w:rsidR="00101A65" w:rsidRPr="00B95AED">
        <w:rPr>
          <w:rFonts w:cstheme="minorHAnsi"/>
        </w:rPr>
        <w:t xml:space="preserve">age related hearing loss. </w:t>
      </w:r>
      <w:r w:rsidR="00FF541A" w:rsidRPr="00B95AED">
        <w:rPr>
          <w:rFonts w:cstheme="minorHAnsi"/>
        </w:rPr>
        <w:t xml:space="preserve">It is characterized by reduced hearing sensitivity, little understanding of speech in noisy environments, delayed central processing of acoustic information and impaired localization of sound sources. </w:t>
      </w:r>
      <w:r w:rsidRPr="00B95AED">
        <w:rPr>
          <w:rFonts w:cstheme="minorHAnsi"/>
        </w:rPr>
        <w:t xml:space="preserve">The risk factors </w:t>
      </w:r>
      <w:r w:rsidR="00101A65" w:rsidRPr="00B95AED">
        <w:rPr>
          <w:rFonts w:cstheme="minorHAnsi"/>
        </w:rPr>
        <w:t xml:space="preserve">are </w:t>
      </w:r>
      <w:r w:rsidRPr="00B95AED">
        <w:rPr>
          <w:rFonts w:cstheme="minorHAnsi"/>
        </w:rPr>
        <w:t xml:space="preserve">noise exposure, </w:t>
      </w:r>
    </w:p>
    <w:p w14:paraId="5EB5F698" w14:textId="77777777" w:rsidR="00787AE9" w:rsidRDefault="00787AE9" w:rsidP="00B95AED">
      <w:pPr>
        <w:jc w:val="both"/>
        <w:rPr>
          <w:rFonts w:cstheme="minorHAnsi"/>
        </w:rPr>
      </w:pPr>
    </w:p>
    <w:p w14:paraId="016E63D6" w14:textId="77777777" w:rsidR="00213562" w:rsidRPr="00213562" w:rsidRDefault="00FF541A" w:rsidP="00213562">
      <w:pPr>
        <w:spacing w:after="0"/>
        <w:jc w:val="both"/>
        <w:rPr>
          <w:rFonts w:cstheme="minorHAnsi"/>
        </w:rPr>
      </w:pPr>
      <w:r w:rsidRPr="00B95AED">
        <w:rPr>
          <w:rFonts w:cstheme="minorHAnsi"/>
        </w:rPr>
        <w:t>hypertension</w:t>
      </w:r>
      <w:r w:rsidR="00170232" w:rsidRPr="00B95AED">
        <w:rPr>
          <w:rFonts w:cstheme="minorHAnsi"/>
        </w:rPr>
        <w:t xml:space="preserve">, </w:t>
      </w:r>
      <w:r w:rsidRPr="00B95AED">
        <w:rPr>
          <w:rFonts w:cstheme="minorHAnsi"/>
        </w:rPr>
        <w:t xml:space="preserve">family history, smoking and </w:t>
      </w:r>
      <w:r w:rsidR="00170232" w:rsidRPr="00B95AED">
        <w:rPr>
          <w:rFonts w:cstheme="minorHAnsi"/>
        </w:rPr>
        <w:t xml:space="preserve">medication </w:t>
      </w:r>
      <w:r w:rsidR="00101A65" w:rsidRPr="00B95AED">
        <w:rPr>
          <w:rFonts w:cstheme="minorHAnsi"/>
        </w:rPr>
        <w:t xml:space="preserve">among many others. </w:t>
      </w:r>
      <w:r w:rsidR="00170232" w:rsidRPr="00B95AED">
        <w:rPr>
          <w:rFonts w:cstheme="minorHAnsi"/>
        </w:rPr>
        <w:t xml:space="preserve"> </w:t>
      </w:r>
      <w:r w:rsidR="00101A65" w:rsidRPr="00B95AED">
        <w:rPr>
          <w:rFonts w:cstheme="minorHAnsi"/>
        </w:rPr>
        <w:t>H</w:t>
      </w:r>
      <w:r w:rsidR="00170232" w:rsidRPr="00B95AED">
        <w:rPr>
          <w:rFonts w:cstheme="minorHAnsi"/>
        </w:rPr>
        <w:t xml:space="preserve">earing thresholds over 25 dB in both ears is said to </w:t>
      </w:r>
      <w:r w:rsidR="00101A65" w:rsidRPr="00B95AED">
        <w:rPr>
          <w:rFonts w:cstheme="minorHAnsi"/>
        </w:rPr>
        <w:t>be</w:t>
      </w:r>
      <w:r w:rsidR="00170232" w:rsidRPr="00B95AED">
        <w:rPr>
          <w:rFonts w:cstheme="minorHAnsi"/>
        </w:rPr>
        <w:t xml:space="preserve"> hearing loss</w:t>
      </w:r>
      <w:r w:rsidR="00101A65" w:rsidRPr="00B95AED">
        <w:rPr>
          <w:rFonts w:cstheme="minorHAnsi"/>
        </w:rPr>
        <w:t xml:space="preserve"> and </w:t>
      </w:r>
      <w:r w:rsidR="00170232" w:rsidRPr="00B95AED">
        <w:rPr>
          <w:rFonts w:cstheme="minorHAnsi"/>
        </w:rPr>
        <w:t>can be classified as mild, moderate, severe, or profound.</w:t>
      </w:r>
      <w:r w:rsidR="00101A65" w:rsidRPr="00353FC6">
        <w:rPr>
          <w:rFonts w:cstheme="minorHAnsi"/>
          <w:vertAlign w:val="superscript"/>
        </w:rPr>
        <w:t>1</w:t>
      </w:r>
      <w:r w:rsidR="00DE4BB8" w:rsidRPr="00B95AED">
        <w:rPr>
          <w:rFonts w:cstheme="minorHAnsi"/>
        </w:rPr>
        <w:t xml:space="preserve"> </w:t>
      </w:r>
      <w:bookmarkStart w:id="1" w:name="_Hlk81945968"/>
      <w:r w:rsidR="00F848DB" w:rsidRPr="00B95AED">
        <w:rPr>
          <w:rFonts w:cstheme="minorHAnsi"/>
        </w:rPr>
        <w:t xml:space="preserve">It is related to degenerative changes of </w:t>
      </w:r>
      <w:r w:rsidR="002A7C20" w:rsidRPr="00B95AED">
        <w:rPr>
          <w:rFonts w:cstheme="minorHAnsi"/>
        </w:rPr>
        <w:t>aging</w:t>
      </w:r>
      <w:r w:rsidR="00F848DB" w:rsidRPr="00B95AED">
        <w:rPr>
          <w:rFonts w:cstheme="minorHAnsi"/>
        </w:rPr>
        <w:t xml:space="preserve"> occurring in the cochlear hair cells and central </w:t>
      </w:r>
      <w:r w:rsidR="00F848DB" w:rsidRPr="00B95AED">
        <w:rPr>
          <w:rFonts w:cstheme="minorHAnsi"/>
        </w:rPr>
        <w:lastRenderedPageBreak/>
        <w:t xml:space="preserve">auditory </w:t>
      </w:r>
      <w:r w:rsidR="00B95AED" w:rsidRPr="00B95AED">
        <w:rPr>
          <w:rFonts w:cstheme="minorHAnsi"/>
        </w:rPr>
        <w:t>connections resulting</w:t>
      </w:r>
      <w:r w:rsidR="00F848DB" w:rsidRPr="00B95AED">
        <w:rPr>
          <w:rFonts w:cstheme="minorHAnsi"/>
        </w:rPr>
        <w:t xml:space="preserve"> from deficient cochlear microcirculation</w:t>
      </w:r>
      <w:r w:rsidR="00667983" w:rsidRPr="00B95AED">
        <w:rPr>
          <w:rFonts w:cstheme="minorHAnsi"/>
        </w:rPr>
        <w:t>.</w:t>
      </w:r>
      <w:r w:rsidR="00F848DB" w:rsidRPr="00353FC6">
        <w:rPr>
          <w:rFonts w:cstheme="minorHAnsi"/>
          <w:vertAlign w:val="superscript"/>
        </w:rPr>
        <w:t>2</w:t>
      </w:r>
      <w:r w:rsidR="00667983" w:rsidRPr="00B95AED">
        <w:rPr>
          <w:rFonts w:cstheme="minorHAnsi"/>
        </w:rPr>
        <w:t xml:space="preserve"> </w:t>
      </w:r>
      <w:r w:rsidR="00F848DB" w:rsidRPr="00B95AED">
        <w:rPr>
          <w:rFonts w:cstheme="minorHAnsi"/>
        </w:rPr>
        <w:t xml:space="preserve">It </w:t>
      </w:r>
      <w:r w:rsidR="002A7C20" w:rsidRPr="00B95AED">
        <w:rPr>
          <w:rFonts w:cstheme="minorHAnsi"/>
        </w:rPr>
        <w:t xml:space="preserve">is </w:t>
      </w:r>
      <w:r w:rsidR="00F848DB" w:rsidRPr="00B95AED">
        <w:rPr>
          <w:rFonts w:cstheme="minorHAnsi"/>
        </w:rPr>
        <w:t>characterized by bilateral</w:t>
      </w:r>
      <w:r w:rsidR="00F03F3D" w:rsidRPr="00B95AED">
        <w:rPr>
          <w:rFonts w:cstheme="minorHAnsi"/>
        </w:rPr>
        <w:t>,</w:t>
      </w:r>
      <w:r w:rsidR="00F848DB" w:rsidRPr="00B95AED">
        <w:rPr>
          <w:rFonts w:cstheme="minorHAnsi"/>
        </w:rPr>
        <w:t xml:space="preserve"> symmetrical</w:t>
      </w:r>
      <w:r w:rsidR="00F03F3D" w:rsidRPr="00B95AED">
        <w:rPr>
          <w:rFonts w:cstheme="minorHAnsi"/>
        </w:rPr>
        <w:t>,</w:t>
      </w:r>
      <w:r w:rsidR="00F848DB" w:rsidRPr="00B95AED">
        <w:rPr>
          <w:rFonts w:cstheme="minorHAnsi"/>
        </w:rPr>
        <w:t xml:space="preserve"> sensorineural hearing loss (SNHL) in which recruitment and speech discrimination </w:t>
      </w:r>
      <w:r w:rsidR="00026C95" w:rsidRPr="00B95AED">
        <w:rPr>
          <w:rFonts w:cstheme="minorHAnsi"/>
        </w:rPr>
        <w:t>is</w:t>
      </w:r>
      <w:r w:rsidR="00F848DB" w:rsidRPr="00B95AED">
        <w:rPr>
          <w:rFonts w:cstheme="minorHAnsi"/>
        </w:rPr>
        <w:t xml:space="preserve"> affected in the absence of noise exposure. </w:t>
      </w:r>
      <w:bookmarkEnd w:id="1"/>
      <w:r w:rsidR="00F848DB" w:rsidRPr="00B95AED">
        <w:rPr>
          <w:rFonts w:cstheme="minorHAnsi"/>
        </w:rPr>
        <w:t>With presbycusis</w:t>
      </w:r>
      <w:r w:rsidR="00FD1769" w:rsidRPr="00B95AED">
        <w:rPr>
          <w:rFonts w:cstheme="minorHAnsi"/>
        </w:rPr>
        <w:t>,</w:t>
      </w:r>
      <w:r w:rsidR="00F848DB" w:rsidRPr="00B95AED">
        <w:rPr>
          <w:rFonts w:cstheme="minorHAnsi"/>
        </w:rPr>
        <w:t xml:space="preserve"> the chances of hearing loss (HL) increase by 9% with each year of advancing age</w:t>
      </w:r>
      <w:r w:rsidR="005D1EC9" w:rsidRPr="00B95AED">
        <w:rPr>
          <w:rFonts w:cstheme="minorHAnsi"/>
        </w:rPr>
        <w:t>.</w:t>
      </w:r>
      <w:r w:rsidR="00F848DB" w:rsidRPr="00353FC6">
        <w:rPr>
          <w:rFonts w:cstheme="minorHAnsi"/>
          <w:vertAlign w:val="superscript"/>
        </w:rPr>
        <w:t>3</w:t>
      </w:r>
      <w:r w:rsidR="00353FC6">
        <w:rPr>
          <w:rFonts w:cstheme="minorHAnsi"/>
          <w:vertAlign w:val="superscript"/>
        </w:rPr>
        <w:t xml:space="preserve"> </w:t>
      </w:r>
      <w:r w:rsidR="00F848DB" w:rsidRPr="00B95AED">
        <w:rPr>
          <w:rFonts w:cstheme="minorHAnsi"/>
        </w:rPr>
        <w:t>Though etiology is a simple degenerative process of cochlear aging, however</w:t>
      </w:r>
      <w:r w:rsidR="00F03F3D" w:rsidRPr="00B95AED">
        <w:rPr>
          <w:rFonts w:cstheme="minorHAnsi"/>
        </w:rPr>
        <w:t>,</w:t>
      </w:r>
      <w:r w:rsidR="00F848DB" w:rsidRPr="00B95AED">
        <w:rPr>
          <w:rFonts w:cstheme="minorHAnsi"/>
        </w:rPr>
        <w:t xml:space="preserve"> environmental factors may also contribute</w:t>
      </w:r>
      <w:r w:rsidR="00F03F3D" w:rsidRPr="00B95AED">
        <w:rPr>
          <w:rFonts w:cstheme="minorHAnsi"/>
        </w:rPr>
        <w:t xml:space="preserve"> to it</w:t>
      </w:r>
      <w:r w:rsidR="00F848DB" w:rsidRPr="00B95AED">
        <w:rPr>
          <w:rFonts w:cstheme="minorHAnsi"/>
        </w:rPr>
        <w:t>.</w:t>
      </w:r>
      <w:r w:rsidR="00FD1769" w:rsidRPr="00B95AED">
        <w:rPr>
          <w:rFonts w:cstheme="minorHAnsi"/>
        </w:rPr>
        <w:t xml:space="preserve"> </w:t>
      </w:r>
      <w:r w:rsidR="00213562" w:rsidRPr="00213562">
        <w:rPr>
          <w:rFonts w:cstheme="minorHAnsi"/>
        </w:rPr>
        <w:t>Presbycusis weakens communication which affects quality of life in many ways, causing personal frustration, relationship problems, anxiety, depression and other negative emotions.</w:t>
      </w:r>
      <w:r w:rsidR="00213562" w:rsidRPr="00213562">
        <w:rPr>
          <w:rFonts w:cstheme="minorHAnsi"/>
          <w:vertAlign w:val="superscript"/>
        </w:rPr>
        <w:t>4</w:t>
      </w:r>
      <w:r w:rsidR="00213562" w:rsidRPr="00213562">
        <w:rPr>
          <w:rFonts w:cstheme="minorHAnsi"/>
        </w:rPr>
        <w:t xml:space="preserve"> Presbycusis is also related to lack of physical activity, certain nutrients, exposure to noise, genetic predisposition and other comorbidities. </w:t>
      </w:r>
      <w:r w:rsidR="00213562" w:rsidRPr="00213562">
        <w:rPr>
          <w:rFonts w:cstheme="minorHAnsi"/>
          <w:vertAlign w:val="superscript"/>
        </w:rPr>
        <w:t>5</w:t>
      </w:r>
    </w:p>
    <w:p w14:paraId="02F8BB19" w14:textId="77777777" w:rsidR="00213562" w:rsidRPr="00213562" w:rsidRDefault="00213562" w:rsidP="00213562">
      <w:pPr>
        <w:spacing w:after="0"/>
        <w:jc w:val="both"/>
        <w:rPr>
          <w:rFonts w:cstheme="minorHAnsi"/>
        </w:rPr>
      </w:pPr>
      <w:r w:rsidRPr="00213562">
        <w:rPr>
          <w:rFonts w:cstheme="minorHAnsi"/>
        </w:rPr>
        <w:t xml:space="preserve">Presbycusis is divided into four main types with specific characteristic audiometric curves including Sensory (high frequency steeply sloping curve), Neural (moderate down sloping curve towards high frequency with severely reduced speech discrimination), </w:t>
      </w:r>
      <w:proofErr w:type="spellStart"/>
      <w:r w:rsidRPr="00213562">
        <w:rPr>
          <w:rFonts w:cstheme="minorHAnsi"/>
        </w:rPr>
        <w:t>Strial</w:t>
      </w:r>
      <w:proofErr w:type="spellEnd"/>
      <w:r w:rsidRPr="00213562">
        <w:rPr>
          <w:rFonts w:cstheme="minorHAnsi"/>
        </w:rPr>
        <w:t xml:space="preserve"> or metabolic (flat curve) &amp; Cochlear Conductive or mechanical (high frequency gently sloping).</w:t>
      </w:r>
      <w:r w:rsidRPr="00213562">
        <w:rPr>
          <w:rFonts w:cstheme="minorHAnsi"/>
          <w:vertAlign w:val="superscript"/>
        </w:rPr>
        <w:t>6</w:t>
      </w:r>
      <w:r w:rsidRPr="00213562">
        <w:rPr>
          <w:rFonts w:cstheme="minorHAnsi"/>
        </w:rPr>
        <w:t xml:space="preserve"> Downward sloping audiogram is associated with degenerative changes involving hair cells, spiral ganglion and stria vascularis.</w:t>
      </w:r>
      <w:r w:rsidRPr="00213562">
        <w:rPr>
          <w:rFonts w:cstheme="minorHAnsi"/>
          <w:vertAlign w:val="superscript"/>
        </w:rPr>
        <w:t xml:space="preserve">7 </w:t>
      </w:r>
    </w:p>
    <w:p w14:paraId="2378AAF4" w14:textId="1B2E63F6" w:rsidR="00884790" w:rsidRPr="00B95AED" w:rsidRDefault="00213562" w:rsidP="00213562">
      <w:pPr>
        <w:spacing w:after="0"/>
        <w:jc w:val="both"/>
        <w:rPr>
          <w:rFonts w:cstheme="minorHAnsi"/>
        </w:rPr>
      </w:pPr>
      <w:r w:rsidRPr="00213562">
        <w:rPr>
          <w:rFonts w:cstheme="minorHAnsi"/>
        </w:rPr>
        <w:t>Presbycusis affects the individuals’ quality of life in daily social and communicational interactions being prevalent in the aging population.</w:t>
      </w:r>
      <w:r w:rsidRPr="00213562">
        <w:rPr>
          <w:rFonts w:cstheme="minorHAnsi"/>
          <w:vertAlign w:val="superscript"/>
        </w:rPr>
        <w:t xml:space="preserve">8 </w:t>
      </w:r>
      <w:r w:rsidRPr="00213562">
        <w:rPr>
          <w:rFonts w:cstheme="minorHAnsi"/>
        </w:rPr>
        <w:t>Hussain B et al in a local study noted that with  already high prevalence of presbycusis and increase in ageing population in coming decades, it is expected to rise significantly and can become a critical issue for the elderly community.</w:t>
      </w:r>
      <w:r w:rsidRPr="00213562">
        <w:rPr>
          <w:rFonts w:cstheme="minorHAnsi"/>
          <w:vertAlign w:val="superscript"/>
        </w:rPr>
        <w:t>9</w:t>
      </w:r>
      <w:r w:rsidRPr="00213562">
        <w:rPr>
          <w:rFonts w:cstheme="minorHAnsi"/>
        </w:rPr>
        <w:t xml:space="preserve"> With a dearth of research on presbycusis in Pakistan and an increasing population with longevity as a universal trend along with a lack of organized screening, preventive and management options for the aging population, it might become a burden for the economy by increasing the less productive and partially disabled population.</w:t>
      </w:r>
      <w:r w:rsidR="00F848DB" w:rsidRPr="00B95AED">
        <w:rPr>
          <w:rFonts w:cstheme="minorHAnsi"/>
        </w:rPr>
        <w:t xml:space="preserve"> </w:t>
      </w:r>
    </w:p>
    <w:p w14:paraId="45C15248" w14:textId="09A2B214" w:rsidR="00213562" w:rsidRPr="00B95AED" w:rsidRDefault="00213562" w:rsidP="00213562">
      <w:pPr>
        <w:spacing w:after="0"/>
        <w:jc w:val="both"/>
        <w:rPr>
          <w:rFonts w:cstheme="minorHAnsi"/>
        </w:rPr>
      </w:pPr>
      <w:r w:rsidRPr="00213562">
        <w:rPr>
          <w:rFonts w:cstheme="minorHAnsi"/>
        </w:rPr>
        <w:t>Hence, this study was conducted with the objective to analyze the pure tone characteristics of presbycusis and may act as a local reference and foundation for further research to plan rehabilitative strategies.</w:t>
      </w:r>
    </w:p>
    <w:p w14:paraId="1465AD77" w14:textId="120DD35C" w:rsidR="00070CE6" w:rsidRPr="00F7218A" w:rsidRDefault="00B95AED" w:rsidP="005D2F70">
      <w:pPr>
        <w:pBdr>
          <w:top w:val="single" w:sz="4" w:space="1" w:color="auto"/>
          <w:left w:val="single" w:sz="4" w:space="4" w:color="auto"/>
          <w:bottom w:val="single" w:sz="4" w:space="1" w:color="auto"/>
          <w:right w:val="single" w:sz="4" w:space="4" w:color="auto"/>
        </w:pBdr>
        <w:spacing w:before="120" w:after="120"/>
        <w:ind w:left="446" w:right="418"/>
        <w:jc w:val="center"/>
        <w:rPr>
          <w:rFonts w:cstheme="minorHAnsi"/>
          <w:b/>
          <w:bCs/>
          <w:spacing w:val="40"/>
          <w:sz w:val="28"/>
          <w:szCs w:val="28"/>
        </w:rPr>
      </w:pPr>
      <w:r w:rsidRPr="00F7218A">
        <w:rPr>
          <w:rFonts w:cstheme="minorHAnsi"/>
          <w:b/>
          <w:bCs/>
          <w:spacing w:val="40"/>
          <w:sz w:val="28"/>
          <w:szCs w:val="28"/>
        </w:rPr>
        <w:t>Material &amp; Methods</w:t>
      </w:r>
    </w:p>
    <w:p w14:paraId="0C668805" w14:textId="1F3DDEBA" w:rsidR="00ED76B9" w:rsidRDefault="00F848DB" w:rsidP="00213562">
      <w:pPr>
        <w:spacing w:after="0"/>
        <w:jc w:val="both"/>
        <w:rPr>
          <w:rFonts w:cstheme="minorHAnsi"/>
        </w:rPr>
      </w:pPr>
      <w:r w:rsidRPr="00B95AED">
        <w:rPr>
          <w:rFonts w:cstheme="minorHAnsi"/>
        </w:rPr>
        <w:t xml:space="preserve">This was a descriptive </w:t>
      </w:r>
      <w:r w:rsidR="00FE05F7" w:rsidRPr="00B95AED">
        <w:rPr>
          <w:rFonts w:cstheme="minorHAnsi"/>
        </w:rPr>
        <w:t>cross-sectional</w:t>
      </w:r>
      <w:r w:rsidRPr="00B95AED">
        <w:rPr>
          <w:rFonts w:cstheme="minorHAnsi"/>
        </w:rPr>
        <w:t xml:space="preserve"> study employing</w:t>
      </w:r>
      <w:r w:rsidR="006E48DB" w:rsidRPr="00B95AED">
        <w:rPr>
          <w:rFonts w:cstheme="minorHAnsi"/>
        </w:rPr>
        <w:t xml:space="preserve"> 192 cases of presbycusis using </w:t>
      </w:r>
      <w:r w:rsidRPr="00B95AED">
        <w:rPr>
          <w:rFonts w:cstheme="minorHAnsi"/>
        </w:rPr>
        <w:t>convenience sampling</w:t>
      </w:r>
      <w:r w:rsidR="006E48DB" w:rsidRPr="00B95AED">
        <w:rPr>
          <w:rFonts w:cstheme="minorHAnsi"/>
        </w:rPr>
        <w:t xml:space="preserve"> technique.</w:t>
      </w:r>
      <w:r w:rsidR="000561B9" w:rsidRPr="00B95AED">
        <w:rPr>
          <w:rFonts w:cstheme="minorHAnsi"/>
        </w:rPr>
        <w:t xml:space="preserve"> </w:t>
      </w:r>
      <w:r w:rsidR="001C456D" w:rsidRPr="00B95AED">
        <w:rPr>
          <w:rFonts w:cstheme="minorHAnsi"/>
        </w:rPr>
        <w:t>The study</w:t>
      </w:r>
      <w:r w:rsidRPr="00B95AED">
        <w:rPr>
          <w:rFonts w:cstheme="minorHAnsi"/>
        </w:rPr>
        <w:t xml:space="preserve"> was conducted at Audiology clinics of Yusra General Hospital and National Institute of Rehabilitation Medicine, Islamabad, Pakistan </w:t>
      </w:r>
      <w:r w:rsidR="00026C95" w:rsidRPr="00B95AED">
        <w:rPr>
          <w:rFonts w:cstheme="minorHAnsi"/>
        </w:rPr>
        <w:t>over</w:t>
      </w:r>
      <w:r w:rsidRPr="00B95AED">
        <w:rPr>
          <w:rFonts w:cstheme="minorHAnsi"/>
        </w:rPr>
        <w:t xml:space="preserve"> three months from 1st July 2017 to 30th September 2017. </w:t>
      </w:r>
      <w:r w:rsidR="00A548F9" w:rsidRPr="00B95AED">
        <w:rPr>
          <w:rFonts w:cstheme="minorHAnsi"/>
        </w:rPr>
        <w:t>A sample</w:t>
      </w:r>
      <w:r w:rsidR="00ED76B9" w:rsidRPr="00B95AED">
        <w:rPr>
          <w:rFonts w:cstheme="minorHAnsi"/>
        </w:rPr>
        <w:t xml:space="preserve"> size of 196 was calculated taking </w:t>
      </w:r>
      <w:r w:rsidR="00A548F9" w:rsidRPr="00B95AED">
        <w:rPr>
          <w:rFonts w:cstheme="minorHAnsi"/>
        </w:rPr>
        <w:t xml:space="preserve">a </w:t>
      </w:r>
      <w:r w:rsidR="00ED76B9" w:rsidRPr="00B95AED">
        <w:rPr>
          <w:rFonts w:cstheme="minorHAnsi"/>
        </w:rPr>
        <w:t>population proportion</w:t>
      </w:r>
      <w:r w:rsidR="000D3F17" w:rsidRPr="00B95AED">
        <w:rPr>
          <w:rFonts w:cstheme="minorHAnsi"/>
        </w:rPr>
        <w:t xml:space="preserve"> (p)</w:t>
      </w:r>
      <w:r w:rsidR="00ED76B9" w:rsidRPr="00B95AED">
        <w:rPr>
          <w:rFonts w:cstheme="minorHAnsi"/>
        </w:rPr>
        <w:t xml:space="preserve"> of 0.15 </w:t>
      </w:r>
      <w:r w:rsidR="00A826AE" w:rsidRPr="00353FC6">
        <w:rPr>
          <w:rFonts w:cstheme="minorHAnsi"/>
          <w:vertAlign w:val="superscript"/>
        </w:rPr>
        <w:t>10</w:t>
      </w:r>
      <w:r w:rsidR="00ED76B9" w:rsidRPr="00B95AED">
        <w:rPr>
          <w:rFonts w:cstheme="minorHAnsi"/>
        </w:rPr>
        <w:t xml:space="preserve"> and </w:t>
      </w:r>
      <w:r w:rsidR="003961A6" w:rsidRPr="00B95AED">
        <w:rPr>
          <w:rFonts w:cstheme="minorHAnsi"/>
        </w:rPr>
        <w:t>e</w:t>
      </w:r>
      <w:r w:rsidR="000D3F17" w:rsidRPr="00B95AED">
        <w:rPr>
          <w:rFonts w:cstheme="minorHAnsi"/>
        </w:rPr>
        <w:t xml:space="preserve">ffect </w:t>
      </w:r>
      <w:r w:rsidR="003961A6" w:rsidRPr="00B95AED">
        <w:rPr>
          <w:rFonts w:cstheme="minorHAnsi"/>
        </w:rPr>
        <w:t>s</w:t>
      </w:r>
      <w:r w:rsidR="000D3F17" w:rsidRPr="00B95AED">
        <w:rPr>
          <w:rFonts w:cstheme="minorHAnsi"/>
        </w:rPr>
        <w:t>ize (</w:t>
      </w:r>
      <w:r w:rsidR="00ED76B9" w:rsidRPr="00B95AED">
        <w:rPr>
          <w:rFonts w:cstheme="minorHAnsi"/>
        </w:rPr>
        <w:t>DEFF</w:t>
      </w:r>
      <w:r w:rsidR="000D3F17" w:rsidRPr="00B95AED">
        <w:rPr>
          <w:rFonts w:cstheme="minorHAnsi"/>
        </w:rPr>
        <w:t>)</w:t>
      </w:r>
      <w:r w:rsidR="00ED76B9" w:rsidRPr="00B95AED">
        <w:rPr>
          <w:rFonts w:cstheme="minorHAnsi"/>
        </w:rPr>
        <w:t xml:space="preserve"> of 1 with 5% absolute precision</w:t>
      </w:r>
      <w:r w:rsidR="000D3F17" w:rsidRPr="00B95AED">
        <w:rPr>
          <w:rFonts w:cstheme="minorHAnsi"/>
        </w:rPr>
        <w:t xml:space="preserve"> (d)</w:t>
      </w:r>
      <w:r w:rsidR="00ED76B9" w:rsidRPr="00B95AED">
        <w:rPr>
          <w:rFonts w:cstheme="minorHAnsi"/>
        </w:rPr>
        <w:t xml:space="preserve"> and</w:t>
      </w:r>
      <w:r w:rsidR="00B35488" w:rsidRPr="00B95AED">
        <w:rPr>
          <w:rFonts w:cstheme="minorHAnsi"/>
        </w:rPr>
        <w:t xml:space="preserve"> </w:t>
      </w:r>
      <w:r w:rsidR="000D3F17" w:rsidRPr="00B95AED">
        <w:rPr>
          <w:rFonts w:cstheme="minorHAnsi"/>
        </w:rPr>
        <w:t xml:space="preserve">the two-sided </w:t>
      </w:r>
      <w:r w:rsidR="00ED76B9" w:rsidRPr="00B95AED">
        <w:rPr>
          <w:rFonts w:cstheme="minorHAnsi"/>
        </w:rPr>
        <w:t>level of significance</w:t>
      </w:r>
      <w:r w:rsidR="000D3F17" w:rsidRPr="00B95AED">
        <w:rPr>
          <w:rFonts w:cstheme="minorHAnsi"/>
        </w:rPr>
        <w:t xml:space="preserve"> (α)</w:t>
      </w:r>
      <w:r w:rsidR="00ED76B9" w:rsidRPr="00B95AED">
        <w:rPr>
          <w:rFonts w:cstheme="minorHAnsi"/>
        </w:rPr>
        <w:t xml:space="preserve"> </w:t>
      </w:r>
      <w:r w:rsidR="000D3F17" w:rsidRPr="00B95AED">
        <w:rPr>
          <w:rFonts w:cstheme="minorHAnsi"/>
        </w:rPr>
        <w:t xml:space="preserve">of 95% </w:t>
      </w:r>
      <w:r w:rsidR="00ED76B9" w:rsidRPr="00B95AED">
        <w:rPr>
          <w:rFonts w:cstheme="minorHAnsi"/>
        </w:rPr>
        <w:t xml:space="preserve">using </w:t>
      </w:r>
      <w:r w:rsidR="00A548F9" w:rsidRPr="00B95AED">
        <w:rPr>
          <w:rFonts w:cstheme="minorHAnsi"/>
        </w:rPr>
        <w:t xml:space="preserve">the </w:t>
      </w:r>
      <w:r w:rsidR="00ED76B9" w:rsidRPr="00B95AED">
        <w:rPr>
          <w:rFonts w:cstheme="minorHAnsi"/>
        </w:rPr>
        <w:t>formula:</w:t>
      </w:r>
    </w:p>
    <w:p w14:paraId="7B682FD3" w14:textId="20172BD0" w:rsidR="00B95AED" w:rsidRPr="00B95AED" w:rsidRDefault="00B95AED" w:rsidP="00B95AED">
      <w:pPr>
        <w:jc w:val="both"/>
        <w:rPr>
          <w:rFonts w:cstheme="minorHAnsi"/>
        </w:rPr>
      </w:pPr>
      <w:r w:rsidRPr="00EE13F6">
        <w:rPr>
          <w:noProof/>
          <w:color w:val="FF0000"/>
        </w:rPr>
        <w:drawing>
          <wp:inline distT="0" distB="0" distL="0" distR="0" wp14:anchorId="33F884A2" wp14:editId="318655A0">
            <wp:extent cx="2775098" cy="475615"/>
            <wp:effectExtent l="0" t="0" r="6350" b="635"/>
            <wp:docPr id="3" name="Picture 3" descr="http://www2.ccrb.cuhk.edu.hk/stat/epistudies/x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ccrb.cuhk.edu.hk/stat/epistudies/x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075" cy="495149"/>
                    </a:xfrm>
                    <a:prstGeom prst="rect">
                      <a:avLst/>
                    </a:prstGeom>
                    <a:noFill/>
                    <a:ln>
                      <a:noFill/>
                    </a:ln>
                  </pic:spPr>
                </pic:pic>
              </a:graphicData>
            </a:graphic>
          </wp:inline>
        </w:drawing>
      </w:r>
    </w:p>
    <w:p w14:paraId="6FA23087" w14:textId="6E49FB1F" w:rsidR="00F848DB" w:rsidRPr="00B95AED" w:rsidRDefault="00ED76B9" w:rsidP="00B95AED">
      <w:pPr>
        <w:jc w:val="both"/>
        <w:rPr>
          <w:rFonts w:cstheme="minorHAnsi"/>
        </w:rPr>
      </w:pPr>
      <w:r w:rsidRPr="00B95AED">
        <w:rPr>
          <w:rFonts w:cstheme="minorHAnsi"/>
        </w:rPr>
        <w:t xml:space="preserve">Cases with incomplete data were excluded from the study leaving behind a valid sample population of 192 cases. </w:t>
      </w:r>
      <w:r w:rsidR="00F848DB" w:rsidRPr="00B95AED">
        <w:rPr>
          <w:rFonts w:cstheme="minorHAnsi"/>
        </w:rPr>
        <w:t xml:space="preserve">The sample included both genders aged 50 to 80 years and excluded those with infective and obstructive pathologies of </w:t>
      </w:r>
      <w:r w:rsidR="001C456D" w:rsidRPr="00B95AED">
        <w:rPr>
          <w:rFonts w:cstheme="minorHAnsi"/>
        </w:rPr>
        <w:t>the outer</w:t>
      </w:r>
      <w:r w:rsidR="00F848DB" w:rsidRPr="00B95AED">
        <w:rPr>
          <w:rFonts w:cstheme="minorHAnsi"/>
        </w:rPr>
        <w:t xml:space="preserve"> and middle ear, tympanosclerosis, otosclerosis, ototoxicity,</w:t>
      </w:r>
      <w:r w:rsidR="001C456D" w:rsidRPr="00B95AED">
        <w:rPr>
          <w:rFonts w:cstheme="minorHAnsi"/>
        </w:rPr>
        <w:t xml:space="preserve"> Meniere's</w:t>
      </w:r>
      <w:r w:rsidR="00F848DB" w:rsidRPr="00B95AED">
        <w:rPr>
          <w:rFonts w:cstheme="minorHAnsi"/>
        </w:rPr>
        <w:t xml:space="preserve"> disease and acoustic neuroma. Pure tone audiometry (PTA) was done for data collection</w:t>
      </w:r>
      <w:r w:rsidR="00F03F3D" w:rsidRPr="00B95AED">
        <w:rPr>
          <w:rFonts w:cstheme="minorHAnsi"/>
        </w:rPr>
        <w:t>.</w:t>
      </w:r>
      <w:r w:rsidR="001C456D" w:rsidRPr="00B95AED">
        <w:rPr>
          <w:rFonts w:cstheme="minorHAnsi"/>
        </w:rPr>
        <w:t xml:space="preserve"> A medical</w:t>
      </w:r>
      <w:r w:rsidR="00F848DB" w:rsidRPr="00B95AED">
        <w:rPr>
          <w:rFonts w:cstheme="minorHAnsi"/>
        </w:rPr>
        <w:t xml:space="preserve"> history sheet and otosco</w:t>
      </w:r>
      <w:r w:rsidR="001C456D" w:rsidRPr="00B95AED">
        <w:rPr>
          <w:rFonts w:cstheme="minorHAnsi"/>
        </w:rPr>
        <w:t xml:space="preserve">pe </w:t>
      </w:r>
      <w:r w:rsidR="007A4B51" w:rsidRPr="00B95AED">
        <w:rPr>
          <w:rFonts w:cstheme="minorHAnsi"/>
        </w:rPr>
        <w:t xml:space="preserve">were </w:t>
      </w:r>
      <w:r w:rsidR="001C0662" w:rsidRPr="00B95AED">
        <w:rPr>
          <w:rFonts w:cstheme="minorHAnsi"/>
        </w:rPr>
        <w:t>used</w:t>
      </w:r>
      <w:r w:rsidR="00F848DB" w:rsidRPr="00B95AED">
        <w:rPr>
          <w:rFonts w:cstheme="minorHAnsi"/>
        </w:rPr>
        <w:t xml:space="preserve"> to rule out outer and middle ear pathologies.</w:t>
      </w:r>
      <w:r w:rsidR="000561B9" w:rsidRPr="00B95AED">
        <w:rPr>
          <w:rFonts w:cstheme="minorHAnsi"/>
        </w:rPr>
        <w:t xml:space="preserve"> </w:t>
      </w:r>
      <w:r w:rsidR="00A548F9" w:rsidRPr="00B95AED">
        <w:rPr>
          <w:rFonts w:cstheme="minorHAnsi"/>
        </w:rPr>
        <w:t>The study</w:t>
      </w:r>
      <w:r w:rsidR="000561B9" w:rsidRPr="00B95AED">
        <w:rPr>
          <w:rFonts w:cstheme="minorHAnsi"/>
        </w:rPr>
        <w:t xml:space="preserve"> was conducted after obtaining approval of </w:t>
      </w:r>
      <w:r w:rsidR="00A548F9" w:rsidRPr="00B95AED">
        <w:rPr>
          <w:rFonts w:cstheme="minorHAnsi"/>
        </w:rPr>
        <w:t xml:space="preserve">the </w:t>
      </w:r>
      <w:r w:rsidR="000561B9" w:rsidRPr="00B95AED">
        <w:rPr>
          <w:rFonts w:cstheme="minorHAnsi"/>
        </w:rPr>
        <w:t xml:space="preserve">IRB of </w:t>
      </w:r>
      <w:proofErr w:type="spellStart"/>
      <w:r w:rsidR="000561B9" w:rsidRPr="00B95AED">
        <w:rPr>
          <w:rFonts w:cstheme="minorHAnsi"/>
        </w:rPr>
        <w:t>Isra</w:t>
      </w:r>
      <w:proofErr w:type="spellEnd"/>
      <w:r w:rsidR="000561B9" w:rsidRPr="00B95AED">
        <w:rPr>
          <w:rFonts w:cstheme="minorHAnsi"/>
        </w:rPr>
        <w:t xml:space="preserve"> Institute of Rehabilitation Sciences, </w:t>
      </w:r>
      <w:proofErr w:type="spellStart"/>
      <w:r w:rsidR="000561B9" w:rsidRPr="00B95AED">
        <w:rPr>
          <w:rFonts w:cstheme="minorHAnsi"/>
        </w:rPr>
        <w:t>Isra</w:t>
      </w:r>
      <w:proofErr w:type="spellEnd"/>
      <w:r w:rsidR="000561B9" w:rsidRPr="00B95AED">
        <w:rPr>
          <w:rFonts w:cstheme="minorHAnsi"/>
        </w:rPr>
        <w:t xml:space="preserve"> University with registration number 1502-M Phil HS-002 dated 18th April 2017 and informed consent from the patients.</w:t>
      </w:r>
    </w:p>
    <w:p w14:paraId="486400C0" w14:textId="3B7FCBBC" w:rsidR="005D2F70" w:rsidRPr="00B95AED" w:rsidRDefault="00F848DB" w:rsidP="005D2F70">
      <w:pPr>
        <w:spacing w:after="0"/>
        <w:jc w:val="both"/>
        <w:rPr>
          <w:rFonts w:cstheme="minorHAnsi"/>
        </w:rPr>
      </w:pPr>
      <w:r w:rsidRPr="00B95AED">
        <w:rPr>
          <w:rFonts w:cstheme="minorHAnsi"/>
        </w:rPr>
        <w:t>PTA was performed using pure tone audiometer model “MAICO MA 51” and both ears were tested with headphones by giving conti</w:t>
      </w:r>
      <w:r w:rsidR="00F03F3D" w:rsidRPr="00B95AED">
        <w:rPr>
          <w:rFonts w:cstheme="minorHAnsi"/>
        </w:rPr>
        <w:t>nuous</w:t>
      </w:r>
      <w:r w:rsidRPr="00B95AED">
        <w:rPr>
          <w:rFonts w:cstheme="minorHAnsi"/>
        </w:rPr>
        <w:t xml:space="preserve"> pure tone signals to </w:t>
      </w:r>
      <w:r w:rsidR="00F03F3D" w:rsidRPr="00B95AED">
        <w:rPr>
          <w:rFonts w:cstheme="minorHAnsi"/>
        </w:rPr>
        <w:t>determine</w:t>
      </w:r>
      <w:r w:rsidRPr="00B95AED">
        <w:rPr>
          <w:rFonts w:cstheme="minorHAnsi"/>
        </w:rPr>
        <w:t xml:space="preserve"> air conduction through the </w:t>
      </w:r>
      <w:r w:rsidRPr="00B95AED">
        <w:rPr>
          <w:rFonts w:cstheme="minorHAnsi"/>
        </w:rPr>
        <w:lastRenderedPageBreak/>
        <w:t>descending to ascending order. Also</w:t>
      </w:r>
      <w:r w:rsidR="00A548F9" w:rsidRPr="00B95AED">
        <w:rPr>
          <w:rFonts w:cstheme="minorHAnsi"/>
        </w:rPr>
        <w:t>,</w:t>
      </w:r>
      <w:r w:rsidRPr="00B95AED">
        <w:rPr>
          <w:rFonts w:cstheme="minorHAnsi"/>
        </w:rPr>
        <w:t xml:space="preserve"> Bone</w:t>
      </w:r>
      <w:r w:rsidR="007A4B51" w:rsidRPr="00B95AED">
        <w:rPr>
          <w:rFonts w:cstheme="minorHAnsi"/>
        </w:rPr>
        <w:t xml:space="preserve"> </w:t>
      </w:r>
      <w:r w:rsidR="005D2F70" w:rsidRPr="005D2F70">
        <w:rPr>
          <w:rFonts w:cstheme="minorHAnsi"/>
        </w:rPr>
        <w:t>PTA was performed using pure tone audiometer model “MAICO MA 51” and both ears were tested with headphones by giving continuous pure tone signals to determine air conduction through the descending to ascending order. Also, Bone conduction procedure was performed using a bone conductor. These tests were performed in a sound proof room by single audiologist to avoid any impact of noise and any inter-examiner difference. SPSS 24 was used for data analysis. Age was presented by mean and standard deviation while categorical variables were presented by frequencies and percentages. Pearson’s correlation and chi-square test were used to determine the association between different variables and a P-value of &lt;0.05 taken as statistically significant.</w:t>
      </w:r>
    </w:p>
    <w:p w14:paraId="0389F56B" w14:textId="2F4B5213" w:rsidR="00891DD4" w:rsidRPr="00F7218A" w:rsidRDefault="00B95AED" w:rsidP="005D2F70">
      <w:pPr>
        <w:pBdr>
          <w:top w:val="single" w:sz="4" w:space="1" w:color="auto"/>
          <w:left w:val="single" w:sz="4" w:space="4" w:color="auto"/>
          <w:bottom w:val="single" w:sz="4" w:space="1" w:color="auto"/>
          <w:right w:val="single" w:sz="4" w:space="4" w:color="auto"/>
        </w:pBdr>
        <w:spacing w:before="120" w:after="120"/>
        <w:ind w:left="446" w:right="418"/>
        <w:jc w:val="center"/>
        <w:rPr>
          <w:rFonts w:cstheme="minorHAnsi"/>
          <w:b/>
          <w:bCs/>
          <w:spacing w:val="40"/>
          <w:sz w:val="28"/>
          <w:szCs w:val="28"/>
        </w:rPr>
      </w:pPr>
      <w:r w:rsidRPr="00F7218A">
        <w:rPr>
          <w:rFonts w:cstheme="minorHAnsi"/>
          <w:b/>
          <w:bCs/>
          <w:spacing w:val="40"/>
          <w:sz w:val="28"/>
          <w:szCs w:val="28"/>
        </w:rPr>
        <w:t>Results</w:t>
      </w:r>
    </w:p>
    <w:p w14:paraId="161624E9" w14:textId="69C831DC" w:rsidR="009F7AAF" w:rsidRPr="009F7AAF" w:rsidRDefault="009F7AAF" w:rsidP="009F7AAF">
      <w:pPr>
        <w:spacing w:line="320" w:lineRule="atLeast"/>
        <w:ind w:left="60" w:right="60"/>
        <w:jc w:val="both"/>
        <w:rPr>
          <w:rFonts w:cstheme="minorHAnsi"/>
        </w:rPr>
      </w:pPr>
      <w:r w:rsidRPr="009F7AAF">
        <w:rPr>
          <w:rFonts w:cstheme="minorHAnsi"/>
        </w:rPr>
        <w:t xml:space="preserve">The current study sample (n=192) comprised a predominantly male population of 129(67.19%) and 63(32.81%) females with male to female ratio of 2.05:1 and a mean age of 65.85 ± 7.36 years. The pattern of hearing loss among the subjects is shown with high frequency gently sloping curve </w:t>
      </w:r>
      <w:r w:rsidRPr="009F7AAF">
        <w:rPr>
          <w:rFonts w:cstheme="minorHAnsi"/>
        </w:rPr>
        <w:t xml:space="preserve">(mechanical, cochlear conductive) on an audiogram in 58 (30.2%) and 65 (33.9%) right and left ears respectively. The second commonest configuration was a high frequency steeply sloping curve (sensory) in 51(26.6%) and 52(27.1%) right and left ears respectively. (Table </w:t>
      </w:r>
      <w:r w:rsidR="00F93778">
        <w:rPr>
          <w:rFonts w:cstheme="minorHAnsi"/>
        </w:rPr>
        <w:t>I</w:t>
      </w:r>
      <w:r w:rsidRPr="009F7AAF">
        <w:rPr>
          <w:rFonts w:cstheme="minorHAnsi"/>
        </w:rPr>
        <w:t>)</w:t>
      </w:r>
    </w:p>
    <w:p w14:paraId="6A92AF0C" w14:textId="77777777" w:rsidR="009F7AAF" w:rsidRPr="009F7AAF" w:rsidRDefault="009F7AAF" w:rsidP="009F7AAF">
      <w:pPr>
        <w:spacing w:line="320" w:lineRule="atLeast"/>
        <w:ind w:left="60" w:right="60"/>
        <w:jc w:val="both"/>
        <w:rPr>
          <w:rFonts w:cstheme="minorHAnsi"/>
        </w:rPr>
      </w:pPr>
      <w:r w:rsidRPr="009F7AAF">
        <w:rPr>
          <w:rFonts w:cstheme="minorHAnsi"/>
        </w:rPr>
        <w:t xml:space="preserve">A statistically significant difference (p&lt;0.001) was present between age group and configuration of audiogram with high frequency gently sloping audiogram predominantly seen at age group 56-60 and 61-65 in the right ear and 56-60, 61-65 &amp; 66-70 in the left ear, while high frequency steeply sloping audiogram predominantly seen at age group 66-70 and 71-75 in the right ear and 71-75 years age group for the left ear.  Pearson’s R correlation was positive. </w:t>
      </w:r>
    </w:p>
    <w:p w14:paraId="0BA060FB" w14:textId="1852463D" w:rsidR="007B4FD4" w:rsidRDefault="009F7AAF" w:rsidP="009F7AAF">
      <w:pPr>
        <w:spacing w:line="320" w:lineRule="atLeast"/>
        <w:ind w:left="60" w:right="60"/>
        <w:jc w:val="both"/>
        <w:rPr>
          <w:rFonts w:ascii="Calibri" w:hAnsi="Calibri" w:cs="Calibri"/>
          <w:b/>
          <w:sz w:val="20"/>
          <w:szCs w:val="20"/>
        </w:rPr>
        <w:sectPr w:rsidR="007B4FD4" w:rsidSect="005A0E97">
          <w:footerReference w:type="default" r:id="rId11"/>
          <w:type w:val="continuous"/>
          <w:pgSz w:w="12240" w:h="15840"/>
          <w:pgMar w:top="1296" w:right="1296" w:bottom="1296" w:left="1296" w:header="576" w:footer="576" w:gutter="0"/>
          <w:pgNumType w:start="169"/>
          <w:cols w:num="2" w:space="360"/>
          <w:docGrid w:linePitch="360"/>
        </w:sectPr>
      </w:pPr>
      <w:r w:rsidRPr="009F7AAF">
        <w:rPr>
          <w:rFonts w:cstheme="minorHAnsi"/>
        </w:rPr>
        <w:t>There was dominancy of male gender in the pattern of high frequency gently sloping hearing loss, possibly due to predominance of male population in the sample, however, the difference was not statistically significant (p=0.716) with a negative Pearson R Correlations among gender and configuration of hearing loss.</w:t>
      </w:r>
    </w:p>
    <w:tbl>
      <w:tblPr>
        <w:tblStyle w:val="TableGrid"/>
        <w:tblW w:w="9625" w:type="dxa"/>
        <w:tblLayout w:type="fixed"/>
        <w:tblLook w:val="0000" w:firstRow="0" w:lastRow="0" w:firstColumn="0" w:lastColumn="0" w:noHBand="0" w:noVBand="0"/>
      </w:tblPr>
      <w:tblGrid>
        <w:gridCol w:w="720"/>
        <w:gridCol w:w="900"/>
        <w:gridCol w:w="895"/>
        <w:gridCol w:w="990"/>
        <w:gridCol w:w="1170"/>
        <w:gridCol w:w="900"/>
        <w:gridCol w:w="990"/>
        <w:gridCol w:w="1080"/>
        <w:gridCol w:w="1080"/>
        <w:gridCol w:w="900"/>
      </w:tblGrid>
      <w:tr w:rsidR="00B95AED" w:rsidRPr="00B95AED" w14:paraId="3D421ACD" w14:textId="77777777" w:rsidTr="00B91378">
        <w:trPr>
          <w:cantSplit/>
          <w:trHeight w:val="20"/>
        </w:trPr>
        <w:tc>
          <w:tcPr>
            <w:tcW w:w="9625" w:type="dxa"/>
            <w:gridSpan w:val="10"/>
          </w:tcPr>
          <w:p w14:paraId="594B6A83" w14:textId="428715E4" w:rsidR="00B95AED" w:rsidRPr="00B95AED" w:rsidRDefault="00B95AED" w:rsidP="008D17B8">
            <w:pPr>
              <w:spacing w:line="320" w:lineRule="atLeast"/>
              <w:ind w:left="60" w:right="60"/>
              <w:jc w:val="center"/>
              <w:rPr>
                <w:rFonts w:ascii="Calibri" w:hAnsi="Calibri" w:cs="Calibri"/>
                <w:color w:val="000000" w:themeColor="text1"/>
                <w:sz w:val="20"/>
                <w:szCs w:val="20"/>
              </w:rPr>
            </w:pPr>
            <w:r w:rsidRPr="00B95AED">
              <w:rPr>
                <w:rFonts w:ascii="Calibri" w:hAnsi="Calibri" w:cs="Calibri"/>
                <w:b/>
                <w:sz w:val="20"/>
                <w:szCs w:val="20"/>
              </w:rPr>
              <w:t xml:space="preserve">Table </w:t>
            </w:r>
            <w:r w:rsidR="00272E1E">
              <w:rPr>
                <w:rFonts w:ascii="Calibri" w:hAnsi="Calibri" w:cs="Calibri"/>
                <w:b/>
                <w:sz w:val="20"/>
                <w:szCs w:val="20"/>
              </w:rPr>
              <w:t>I</w:t>
            </w:r>
            <w:r w:rsidRPr="00B95AED">
              <w:rPr>
                <w:rFonts w:ascii="Calibri" w:hAnsi="Calibri" w:cs="Calibri"/>
                <w:b/>
                <w:sz w:val="20"/>
                <w:szCs w:val="20"/>
              </w:rPr>
              <w:t>: Age Group &amp; Gender * Configuration of Hearing Loss (Pure Tone Threshold Curve): Cross Tabulation (n=192)</w:t>
            </w:r>
          </w:p>
        </w:tc>
      </w:tr>
      <w:tr w:rsidR="00B95AED" w:rsidRPr="00B95AED" w14:paraId="5DDDD75A" w14:textId="77777777" w:rsidTr="0075637E">
        <w:trPr>
          <w:cantSplit/>
          <w:trHeight w:val="20"/>
        </w:trPr>
        <w:tc>
          <w:tcPr>
            <w:tcW w:w="720" w:type="dxa"/>
            <w:vMerge w:val="restart"/>
          </w:tcPr>
          <w:p w14:paraId="2C0B03F0" w14:textId="1E5C14ED" w:rsidR="00B95AED" w:rsidRPr="00B95AED" w:rsidRDefault="009F7AAF" w:rsidP="009F7AAF">
            <w:pPr>
              <w:spacing w:after="200" w:line="276" w:lineRule="auto"/>
              <w:ind w:left="-203"/>
              <w:rPr>
                <w:rFonts w:ascii="Calibri" w:hAnsi="Calibri" w:cs="Calibri"/>
                <w:color w:val="000000" w:themeColor="text1"/>
                <w:sz w:val="20"/>
                <w:szCs w:val="20"/>
              </w:rPr>
            </w:pPr>
            <w:r>
              <w:rPr>
                <w:rFonts w:ascii="Calibri" w:hAnsi="Calibri" w:cs="Calibri"/>
                <w:color w:val="000000" w:themeColor="text1"/>
                <w:sz w:val="20"/>
                <w:szCs w:val="20"/>
              </w:rPr>
              <w:t xml:space="preserve">   </w:t>
            </w:r>
            <w:r w:rsidR="00B95AED" w:rsidRPr="00B95AED">
              <w:rPr>
                <w:rFonts w:ascii="Calibri" w:hAnsi="Calibri" w:cs="Calibri"/>
                <w:color w:val="000000" w:themeColor="text1"/>
                <w:sz w:val="20"/>
                <w:szCs w:val="20"/>
              </w:rPr>
              <w:t>Ear</w:t>
            </w:r>
          </w:p>
        </w:tc>
        <w:tc>
          <w:tcPr>
            <w:tcW w:w="900" w:type="dxa"/>
            <w:vMerge w:val="restart"/>
          </w:tcPr>
          <w:p w14:paraId="3DA2E362" w14:textId="18F17FB3" w:rsidR="00B95AED" w:rsidRPr="00B95AED" w:rsidRDefault="009F7AAF" w:rsidP="00A72B5A">
            <w:pPr>
              <w:ind w:left="-101" w:hanging="11"/>
              <w:rPr>
                <w:rFonts w:ascii="Calibri" w:hAnsi="Calibri" w:cs="Calibri"/>
                <w:color w:val="000000" w:themeColor="text1"/>
                <w:sz w:val="20"/>
                <w:szCs w:val="20"/>
              </w:rPr>
            </w:pPr>
            <w:r w:rsidRPr="00B95AED">
              <w:rPr>
                <w:rFonts w:ascii="Calibri" w:hAnsi="Calibri" w:cs="Calibri"/>
                <w:color w:val="000000" w:themeColor="text1"/>
                <w:sz w:val="20"/>
                <w:szCs w:val="20"/>
              </w:rPr>
              <w:t>Age Group</w:t>
            </w:r>
            <w:r w:rsidR="00B95AED" w:rsidRPr="00B95AED">
              <w:rPr>
                <w:rFonts w:ascii="Calibri" w:hAnsi="Calibri" w:cs="Calibri"/>
                <w:color w:val="000000" w:themeColor="text1"/>
                <w:sz w:val="20"/>
                <w:szCs w:val="20"/>
              </w:rPr>
              <w:t xml:space="preserve"> (</w:t>
            </w:r>
            <w:r w:rsidRPr="00B95AED">
              <w:rPr>
                <w:rFonts w:ascii="Calibri" w:hAnsi="Calibri" w:cs="Calibri"/>
                <w:color w:val="000000" w:themeColor="text1"/>
                <w:sz w:val="20"/>
                <w:szCs w:val="20"/>
              </w:rPr>
              <w:t>Years) &amp;</w:t>
            </w:r>
            <w:r w:rsidR="00B95AED" w:rsidRPr="00B95AED">
              <w:rPr>
                <w:rFonts w:ascii="Calibri" w:hAnsi="Calibri" w:cs="Calibri"/>
                <w:color w:val="000000" w:themeColor="text1"/>
                <w:sz w:val="20"/>
                <w:szCs w:val="20"/>
              </w:rPr>
              <w:t xml:space="preserve"> Gender </w:t>
            </w:r>
          </w:p>
          <w:p w14:paraId="2CF9EE3C" w14:textId="77777777" w:rsidR="00B95AED" w:rsidRPr="00B95AED" w:rsidRDefault="00B95AED" w:rsidP="009F7AAF">
            <w:pPr>
              <w:spacing w:after="200" w:line="276" w:lineRule="auto"/>
              <w:ind w:right="220" w:hanging="11"/>
              <w:rPr>
                <w:rFonts w:ascii="Calibri" w:hAnsi="Calibri" w:cs="Calibri"/>
                <w:color w:val="000000" w:themeColor="text1"/>
                <w:sz w:val="20"/>
                <w:szCs w:val="20"/>
              </w:rPr>
            </w:pPr>
          </w:p>
        </w:tc>
        <w:tc>
          <w:tcPr>
            <w:tcW w:w="4945" w:type="dxa"/>
            <w:gridSpan w:val="5"/>
          </w:tcPr>
          <w:p w14:paraId="0B354027" w14:textId="77777777" w:rsidR="00B95AED" w:rsidRPr="00B95AED" w:rsidRDefault="00B95AED" w:rsidP="008D17B8">
            <w:pPr>
              <w:spacing w:line="320" w:lineRule="atLeast"/>
              <w:ind w:left="60" w:right="60"/>
              <w:jc w:val="center"/>
              <w:rPr>
                <w:rFonts w:ascii="Calibri" w:hAnsi="Calibri" w:cs="Calibri"/>
                <w:color w:val="000000" w:themeColor="text1"/>
                <w:sz w:val="20"/>
                <w:szCs w:val="20"/>
              </w:rPr>
            </w:pPr>
            <w:r w:rsidRPr="00B95AED">
              <w:rPr>
                <w:rFonts w:ascii="Calibri" w:hAnsi="Calibri" w:cs="Calibri"/>
                <w:color w:val="000000" w:themeColor="text1"/>
                <w:sz w:val="20"/>
                <w:szCs w:val="20"/>
              </w:rPr>
              <w:t>Configuration Of Hearing Loss Curve (Puretone)</w:t>
            </w:r>
          </w:p>
        </w:tc>
        <w:tc>
          <w:tcPr>
            <w:tcW w:w="1080" w:type="dxa"/>
            <w:vMerge w:val="restart"/>
          </w:tcPr>
          <w:p w14:paraId="14EACF2B" w14:textId="77777777" w:rsidR="00B95AED" w:rsidRPr="00B95AED" w:rsidRDefault="00B95AED" w:rsidP="008D17B8">
            <w:pPr>
              <w:spacing w:line="320" w:lineRule="atLeast"/>
              <w:ind w:right="60"/>
              <w:jc w:val="center"/>
              <w:rPr>
                <w:rFonts w:ascii="Calibri" w:hAnsi="Calibri" w:cs="Calibri"/>
                <w:color w:val="000000" w:themeColor="text1"/>
                <w:sz w:val="20"/>
                <w:szCs w:val="20"/>
              </w:rPr>
            </w:pPr>
            <w:r w:rsidRPr="00B95AED">
              <w:rPr>
                <w:rFonts w:ascii="Calibri" w:hAnsi="Calibri" w:cs="Calibri"/>
                <w:color w:val="000000" w:themeColor="text1"/>
                <w:sz w:val="20"/>
                <w:szCs w:val="20"/>
              </w:rPr>
              <w:t>Total</w:t>
            </w:r>
          </w:p>
          <w:p w14:paraId="0F1A648A" w14:textId="77777777" w:rsidR="00B95AED" w:rsidRPr="00B95AED" w:rsidRDefault="00B95AED" w:rsidP="008D17B8">
            <w:pPr>
              <w:spacing w:after="200" w:line="320" w:lineRule="atLeast"/>
              <w:ind w:right="60"/>
              <w:jc w:val="center"/>
              <w:rPr>
                <w:rFonts w:ascii="Calibri" w:hAnsi="Calibri" w:cs="Calibri"/>
                <w:color w:val="000000" w:themeColor="text1"/>
                <w:sz w:val="20"/>
                <w:szCs w:val="20"/>
              </w:rPr>
            </w:pPr>
            <w:r w:rsidRPr="00B95AED">
              <w:rPr>
                <w:rFonts w:ascii="Calibri" w:hAnsi="Calibri" w:cs="Calibri"/>
                <w:color w:val="000000" w:themeColor="text1"/>
                <w:sz w:val="20"/>
                <w:szCs w:val="20"/>
              </w:rPr>
              <w:t>(N, %)</w:t>
            </w:r>
          </w:p>
        </w:tc>
        <w:tc>
          <w:tcPr>
            <w:tcW w:w="1980" w:type="dxa"/>
            <w:gridSpan w:val="2"/>
          </w:tcPr>
          <w:p w14:paraId="028FB34A" w14:textId="77777777" w:rsidR="00B95AED" w:rsidRPr="00B95AED" w:rsidRDefault="00B95AED" w:rsidP="008D17B8">
            <w:pPr>
              <w:spacing w:line="320" w:lineRule="atLeast"/>
              <w:ind w:right="60"/>
              <w:jc w:val="center"/>
              <w:rPr>
                <w:rFonts w:ascii="Calibri" w:hAnsi="Calibri" w:cs="Calibri"/>
                <w:color w:val="000000" w:themeColor="text1"/>
                <w:sz w:val="20"/>
                <w:szCs w:val="20"/>
              </w:rPr>
            </w:pPr>
            <w:r w:rsidRPr="00B95AED">
              <w:rPr>
                <w:rFonts w:ascii="Calibri" w:hAnsi="Calibri" w:cs="Calibri"/>
                <w:color w:val="000000" w:themeColor="text1"/>
                <w:sz w:val="20"/>
                <w:szCs w:val="20"/>
              </w:rPr>
              <w:t>Correlations</w:t>
            </w:r>
          </w:p>
        </w:tc>
      </w:tr>
      <w:tr w:rsidR="0075637E" w:rsidRPr="00B95AED" w14:paraId="7D301AD3" w14:textId="77777777" w:rsidTr="0075637E">
        <w:trPr>
          <w:cantSplit/>
          <w:trHeight w:val="20"/>
        </w:trPr>
        <w:tc>
          <w:tcPr>
            <w:tcW w:w="720" w:type="dxa"/>
            <w:vMerge/>
          </w:tcPr>
          <w:p w14:paraId="229B7DC1" w14:textId="77777777" w:rsidR="00B95AED" w:rsidRPr="00B95AED" w:rsidRDefault="00B95AED" w:rsidP="009F7AAF">
            <w:pPr>
              <w:ind w:left="-203"/>
              <w:jc w:val="center"/>
              <w:rPr>
                <w:rFonts w:ascii="Calibri" w:hAnsi="Calibri" w:cs="Calibri"/>
                <w:color w:val="000000" w:themeColor="text1"/>
                <w:sz w:val="20"/>
                <w:szCs w:val="20"/>
              </w:rPr>
            </w:pPr>
          </w:p>
        </w:tc>
        <w:tc>
          <w:tcPr>
            <w:tcW w:w="900" w:type="dxa"/>
            <w:vMerge/>
          </w:tcPr>
          <w:p w14:paraId="4234085D" w14:textId="77777777" w:rsidR="00B95AED" w:rsidRPr="00B95AED" w:rsidRDefault="00B95AED" w:rsidP="009F7AAF">
            <w:pPr>
              <w:ind w:right="220" w:hanging="11"/>
              <w:rPr>
                <w:rFonts w:ascii="Calibri" w:hAnsi="Calibri" w:cs="Calibri"/>
                <w:color w:val="000000" w:themeColor="text1"/>
                <w:sz w:val="20"/>
                <w:szCs w:val="20"/>
              </w:rPr>
            </w:pPr>
          </w:p>
        </w:tc>
        <w:tc>
          <w:tcPr>
            <w:tcW w:w="895" w:type="dxa"/>
          </w:tcPr>
          <w:p w14:paraId="6131BAEA" w14:textId="77A7C353" w:rsidR="00B95AED" w:rsidRPr="00B95AED" w:rsidRDefault="00B95AED" w:rsidP="00A72B5A">
            <w:pPr>
              <w:spacing w:line="320" w:lineRule="atLeast"/>
              <w:ind w:left="-106" w:right="60"/>
              <w:jc w:val="center"/>
              <w:rPr>
                <w:rFonts w:ascii="Calibri" w:hAnsi="Calibri" w:cs="Calibri"/>
                <w:color w:val="000000" w:themeColor="text1"/>
                <w:sz w:val="20"/>
                <w:szCs w:val="20"/>
              </w:rPr>
            </w:pPr>
            <w:r w:rsidRPr="00B95AED">
              <w:rPr>
                <w:rFonts w:ascii="Calibri" w:hAnsi="Calibri" w:cs="Calibri"/>
                <w:color w:val="000000" w:themeColor="text1"/>
                <w:sz w:val="20"/>
                <w:szCs w:val="20"/>
              </w:rPr>
              <w:t>Flat</w:t>
            </w:r>
          </w:p>
        </w:tc>
        <w:tc>
          <w:tcPr>
            <w:tcW w:w="990" w:type="dxa"/>
          </w:tcPr>
          <w:p w14:paraId="4BDC88C3" w14:textId="77777777" w:rsidR="00B95AED" w:rsidRPr="009F7AAF" w:rsidRDefault="00B95AED" w:rsidP="00A72B5A">
            <w:pPr>
              <w:spacing w:line="320" w:lineRule="atLeast"/>
              <w:ind w:left="-11" w:right="-122"/>
              <w:rPr>
                <w:rFonts w:ascii="Calibri" w:hAnsi="Calibri" w:cs="Calibri"/>
                <w:color w:val="000000" w:themeColor="text1"/>
                <w:sz w:val="20"/>
                <w:szCs w:val="20"/>
              </w:rPr>
            </w:pPr>
            <w:r w:rsidRPr="009F7AAF">
              <w:rPr>
                <w:rFonts w:ascii="Calibri" w:hAnsi="Calibri" w:cs="Calibri"/>
                <w:color w:val="000000" w:themeColor="text1"/>
                <w:sz w:val="20"/>
                <w:szCs w:val="20"/>
              </w:rPr>
              <w:t xml:space="preserve">High Frequency Steeply Sloping (Metabolic, </w:t>
            </w:r>
            <w:proofErr w:type="spellStart"/>
            <w:r w:rsidRPr="009F7AAF">
              <w:rPr>
                <w:rFonts w:ascii="Calibri" w:hAnsi="Calibri" w:cs="Calibri"/>
                <w:color w:val="000000" w:themeColor="text1"/>
                <w:sz w:val="20"/>
                <w:szCs w:val="20"/>
              </w:rPr>
              <w:t>Strial</w:t>
            </w:r>
            <w:proofErr w:type="spellEnd"/>
            <w:r w:rsidRPr="009F7AAF">
              <w:rPr>
                <w:rFonts w:ascii="Calibri" w:hAnsi="Calibri" w:cs="Calibri"/>
                <w:color w:val="000000" w:themeColor="text1"/>
                <w:sz w:val="20"/>
                <w:szCs w:val="20"/>
              </w:rPr>
              <w:t>)</w:t>
            </w:r>
          </w:p>
        </w:tc>
        <w:tc>
          <w:tcPr>
            <w:tcW w:w="1170" w:type="dxa"/>
          </w:tcPr>
          <w:p w14:paraId="66776DF0" w14:textId="77777777" w:rsidR="00B95AED" w:rsidRPr="00B95AED" w:rsidRDefault="00B95AED" w:rsidP="00A72B5A">
            <w:pPr>
              <w:spacing w:line="320" w:lineRule="atLeast"/>
              <w:ind w:left="-112" w:right="-108"/>
              <w:jc w:val="center"/>
              <w:rPr>
                <w:rFonts w:ascii="Calibri" w:hAnsi="Calibri" w:cs="Calibri"/>
                <w:color w:val="000000" w:themeColor="text1"/>
                <w:sz w:val="20"/>
                <w:szCs w:val="20"/>
              </w:rPr>
            </w:pPr>
            <w:r w:rsidRPr="00B95AED">
              <w:rPr>
                <w:rFonts w:ascii="Calibri" w:hAnsi="Calibri" w:cs="Calibri"/>
                <w:color w:val="000000" w:themeColor="text1"/>
                <w:sz w:val="20"/>
                <w:szCs w:val="20"/>
              </w:rPr>
              <w:t>High Frequency Gently Sloping (Mechanical, Cochlear Conductive)</w:t>
            </w:r>
          </w:p>
        </w:tc>
        <w:tc>
          <w:tcPr>
            <w:tcW w:w="900" w:type="dxa"/>
          </w:tcPr>
          <w:p w14:paraId="0EC18CDF" w14:textId="77777777" w:rsidR="00B95AED" w:rsidRPr="00B95AED" w:rsidRDefault="00B95AED" w:rsidP="00A72B5A">
            <w:pPr>
              <w:spacing w:line="320" w:lineRule="atLeast"/>
              <w:ind w:left="-22" w:right="57"/>
              <w:jc w:val="center"/>
              <w:rPr>
                <w:rFonts w:ascii="Calibri" w:hAnsi="Calibri" w:cs="Calibri"/>
                <w:color w:val="000000" w:themeColor="text1"/>
                <w:sz w:val="20"/>
                <w:szCs w:val="20"/>
              </w:rPr>
            </w:pPr>
            <w:r w:rsidRPr="00B95AED">
              <w:rPr>
                <w:rFonts w:ascii="Calibri" w:hAnsi="Calibri" w:cs="Calibri"/>
                <w:color w:val="000000" w:themeColor="text1"/>
                <w:sz w:val="20"/>
                <w:szCs w:val="20"/>
              </w:rPr>
              <w:t>Precipitous</w:t>
            </w:r>
          </w:p>
        </w:tc>
        <w:tc>
          <w:tcPr>
            <w:tcW w:w="990" w:type="dxa"/>
          </w:tcPr>
          <w:p w14:paraId="32460414" w14:textId="77777777" w:rsidR="00B95AED" w:rsidRPr="00B95AED" w:rsidRDefault="00B95AED" w:rsidP="00A72B5A">
            <w:pPr>
              <w:spacing w:line="320" w:lineRule="atLeast"/>
              <w:ind w:left="-112" w:right="77"/>
              <w:jc w:val="center"/>
              <w:rPr>
                <w:rFonts w:ascii="Calibri" w:hAnsi="Calibri" w:cs="Calibri"/>
                <w:color w:val="000000" w:themeColor="text1"/>
                <w:sz w:val="20"/>
                <w:szCs w:val="20"/>
              </w:rPr>
            </w:pPr>
            <w:r w:rsidRPr="00B95AED">
              <w:rPr>
                <w:rFonts w:ascii="Calibri" w:hAnsi="Calibri" w:cs="Calibri"/>
                <w:color w:val="000000" w:themeColor="text1"/>
                <w:sz w:val="20"/>
                <w:szCs w:val="20"/>
              </w:rPr>
              <w:t>Fragmentary</w:t>
            </w:r>
          </w:p>
        </w:tc>
        <w:tc>
          <w:tcPr>
            <w:tcW w:w="1080" w:type="dxa"/>
            <w:vMerge/>
          </w:tcPr>
          <w:p w14:paraId="43174E87" w14:textId="77777777" w:rsidR="00B95AED" w:rsidRPr="00B95AED" w:rsidRDefault="00B95AED" w:rsidP="008D17B8">
            <w:pPr>
              <w:spacing w:line="320" w:lineRule="atLeast"/>
              <w:ind w:right="60"/>
              <w:jc w:val="center"/>
              <w:rPr>
                <w:rFonts w:ascii="Calibri" w:hAnsi="Calibri" w:cs="Calibri"/>
                <w:color w:val="000000" w:themeColor="text1"/>
                <w:sz w:val="20"/>
                <w:szCs w:val="20"/>
              </w:rPr>
            </w:pPr>
          </w:p>
        </w:tc>
        <w:tc>
          <w:tcPr>
            <w:tcW w:w="1080" w:type="dxa"/>
          </w:tcPr>
          <w:p w14:paraId="702C7405" w14:textId="77777777" w:rsidR="00B95AED" w:rsidRPr="00B95AED" w:rsidRDefault="00B95AED" w:rsidP="009F7AAF">
            <w:pPr>
              <w:spacing w:line="320" w:lineRule="atLeast"/>
              <w:ind w:right="60"/>
              <w:jc w:val="center"/>
              <w:rPr>
                <w:rFonts w:ascii="Calibri" w:hAnsi="Calibri" w:cs="Calibri"/>
                <w:color w:val="000000" w:themeColor="text1"/>
                <w:sz w:val="20"/>
                <w:szCs w:val="20"/>
              </w:rPr>
            </w:pPr>
            <w:r w:rsidRPr="00B95AED">
              <w:rPr>
                <w:rFonts w:ascii="Calibri" w:hAnsi="Calibri" w:cs="Calibri"/>
                <w:color w:val="000000" w:themeColor="text1"/>
                <w:sz w:val="20"/>
                <w:szCs w:val="20"/>
              </w:rPr>
              <w:t>Chi-Square</w:t>
            </w:r>
          </w:p>
        </w:tc>
        <w:tc>
          <w:tcPr>
            <w:tcW w:w="900" w:type="dxa"/>
          </w:tcPr>
          <w:p w14:paraId="746BE1FE" w14:textId="77777777" w:rsidR="00B95AED" w:rsidRPr="00B95AED" w:rsidRDefault="00B95AED" w:rsidP="009F7AAF">
            <w:pPr>
              <w:spacing w:line="320" w:lineRule="atLeast"/>
              <w:ind w:right="60"/>
              <w:jc w:val="center"/>
              <w:rPr>
                <w:rFonts w:ascii="Calibri" w:hAnsi="Calibri" w:cs="Calibri"/>
                <w:color w:val="000000" w:themeColor="text1"/>
                <w:sz w:val="20"/>
                <w:szCs w:val="20"/>
              </w:rPr>
            </w:pPr>
            <w:r w:rsidRPr="00B95AED">
              <w:rPr>
                <w:rFonts w:ascii="Calibri" w:hAnsi="Calibri" w:cs="Calibri"/>
                <w:color w:val="000000" w:themeColor="text1"/>
                <w:sz w:val="20"/>
                <w:szCs w:val="20"/>
              </w:rPr>
              <w:t>Pearson's R</w:t>
            </w:r>
          </w:p>
          <w:p w14:paraId="69C9C8FA" w14:textId="77777777" w:rsidR="00B95AED" w:rsidRPr="00B95AED" w:rsidRDefault="00B95AED" w:rsidP="009F7AAF">
            <w:pPr>
              <w:spacing w:line="320" w:lineRule="atLeast"/>
              <w:ind w:right="60"/>
              <w:jc w:val="center"/>
              <w:rPr>
                <w:rFonts w:ascii="Calibri" w:hAnsi="Calibri" w:cs="Calibri"/>
                <w:color w:val="000000" w:themeColor="text1"/>
                <w:sz w:val="20"/>
                <w:szCs w:val="20"/>
              </w:rPr>
            </w:pPr>
          </w:p>
        </w:tc>
      </w:tr>
      <w:tr w:rsidR="0075637E" w:rsidRPr="00B95AED" w14:paraId="1C56AD3C" w14:textId="77777777" w:rsidTr="0075637E">
        <w:trPr>
          <w:cantSplit/>
          <w:trHeight w:val="20"/>
        </w:trPr>
        <w:tc>
          <w:tcPr>
            <w:tcW w:w="720" w:type="dxa"/>
            <w:vMerge w:val="restart"/>
          </w:tcPr>
          <w:p w14:paraId="39820218" w14:textId="587F2827" w:rsidR="00B95AED" w:rsidRPr="00B95AED" w:rsidRDefault="009F7AAF" w:rsidP="009F7AAF">
            <w:pPr>
              <w:spacing w:line="320" w:lineRule="atLeast"/>
              <w:ind w:left="-203" w:right="60"/>
              <w:jc w:val="center"/>
              <w:rPr>
                <w:rFonts w:ascii="Calibri" w:hAnsi="Calibri" w:cs="Calibri"/>
                <w:color w:val="000000" w:themeColor="text1"/>
                <w:sz w:val="20"/>
                <w:szCs w:val="20"/>
              </w:rPr>
            </w:pPr>
            <w:r>
              <w:rPr>
                <w:rFonts w:ascii="Calibri" w:hAnsi="Calibri" w:cs="Calibri"/>
                <w:color w:val="000000" w:themeColor="text1"/>
                <w:sz w:val="20"/>
                <w:szCs w:val="20"/>
              </w:rPr>
              <w:t xml:space="preserve">  </w:t>
            </w:r>
            <w:r w:rsidR="00B95AED" w:rsidRPr="00B95AED">
              <w:rPr>
                <w:rFonts w:ascii="Calibri" w:hAnsi="Calibri" w:cs="Calibri"/>
                <w:color w:val="000000" w:themeColor="text1"/>
                <w:sz w:val="20"/>
                <w:szCs w:val="20"/>
              </w:rPr>
              <w:t>Right</w:t>
            </w:r>
          </w:p>
        </w:tc>
        <w:tc>
          <w:tcPr>
            <w:tcW w:w="900" w:type="dxa"/>
          </w:tcPr>
          <w:p w14:paraId="4B972CDB" w14:textId="29A47EEA" w:rsidR="00B95AED" w:rsidRPr="00B95AED" w:rsidRDefault="00A72B5A" w:rsidP="00A72B5A">
            <w:pPr>
              <w:spacing w:line="320" w:lineRule="atLeast"/>
              <w:ind w:left="-131" w:hanging="11"/>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50 To 55</w:t>
            </w:r>
          </w:p>
        </w:tc>
        <w:tc>
          <w:tcPr>
            <w:tcW w:w="895" w:type="dxa"/>
          </w:tcPr>
          <w:p w14:paraId="01A0BB1C"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990" w:type="dxa"/>
          </w:tcPr>
          <w:p w14:paraId="0E36C3B8"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1170" w:type="dxa"/>
          </w:tcPr>
          <w:p w14:paraId="65FF1334"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900" w:type="dxa"/>
          </w:tcPr>
          <w:p w14:paraId="0590A16D"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990" w:type="dxa"/>
          </w:tcPr>
          <w:p w14:paraId="188D8135"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0</w:t>
            </w:r>
          </w:p>
        </w:tc>
        <w:tc>
          <w:tcPr>
            <w:tcW w:w="1080" w:type="dxa"/>
          </w:tcPr>
          <w:p w14:paraId="07A280FC"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18 (9.37%)</w:t>
            </w:r>
          </w:p>
        </w:tc>
        <w:tc>
          <w:tcPr>
            <w:tcW w:w="1080" w:type="dxa"/>
            <w:vMerge w:val="restart"/>
          </w:tcPr>
          <w:p w14:paraId="003AF5E7" w14:textId="77777777" w:rsidR="00B95AED" w:rsidRPr="00B95AED" w:rsidRDefault="00B95AED" w:rsidP="008D17B8">
            <w:pPr>
              <w:spacing w:line="320" w:lineRule="atLeast"/>
              <w:ind w:left="60" w:right="60"/>
              <w:jc w:val="center"/>
              <w:rPr>
                <w:rFonts w:ascii="Calibri" w:hAnsi="Calibri" w:cs="Calibri"/>
                <w:bCs/>
                <w:color w:val="010205"/>
                <w:sz w:val="20"/>
                <w:szCs w:val="20"/>
              </w:rPr>
            </w:pPr>
            <w:r w:rsidRPr="00B95AED">
              <w:rPr>
                <w:rFonts w:ascii="Calibri" w:hAnsi="Calibri" w:cs="Calibri"/>
                <w:bCs/>
                <w:color w:val="010205"/>
                <w:sz w:val="20"/>
                <w:szCs w:val="20"/>
              </w:rPr>
              <w:t>Value: 49.233</w:t>
            </w:r>
          </w:p>
          <w:p w14:paraId="70F854CA" w14:textId="77777777" w:rsidR="00B95AED" w:rsidRPr="00B95AED" w:rsidRDefault="00B95AED" w:rsidP="008D17B8">
            <w:pPr>
              <w:spacing w:line="320" w:lineRule="atLeast"/>
              <w:ind w:left="60" w:right="60"/>
              <w:jc w:val="center"/>
              <w:rPr>
                <w:rFonts w:ascii="Calibri" w:hAnsi="Calibri" w:cs="Calibri"/>
                <w:bCs/>
                <w:color w:val="010205"/>
                <w:sz w:val="20"/>
                <w:szCs w:val="20"/>
              </w:rPr>
            </w:pPr>
            <w:r w:rsidRPr="00B95AED">
              <w:rPr>
                <w:rFonts w:ascii="Calibri" w:hAnsi="Calibri" w:cs="Calibri"/>
                <w:bCs/>
                <w:color w:val="010205"/>
                <w:sz w:val="20"/>
                <w:szCs w:val="20"/>
              </w:rPr>
              <w:t>P-Value: 0.000</w:t>
            </w:r>
          </w:p>
        </w:tc>
        <w:tc>
          <w:tcPr>
            <w:tcW w:w="900" w:type="dxa"/>
            <w:vMerge w:val="restart"/>
          </w:tcPr>
          <w:p w14:paraId="01D9BA3B" w14:textId="77777777" w:rsidR="00B95AED" w:rsidRPr="00B95AED" w:rsidRDefault="00B95AED" w:rsidP="008D17B8">
            <w:pPr>
              <w:spacing w:line="320" w:lineRule="atLeast"/>
              <w:ind w:left="60" w:right="60"/>
              <w:jc w:val="center"/>
              <w:rPr>
                <w:rFonts w:ascii="Calibri" w:hAnsi="Calibri" w:cs="Calibri"/>
                <w:bCs/>
                <w:color w:val="010205"/>
                <w:sz w:val="20"/>
                <w:szCs w:val="20"/>
              </w:rPr>
            </w:pPr>
            <w:r w:rsidRPr="00B95AED">
              <w:rPr>
                <w:rFonts w:ascii="Calibri" w:hAnsi="Calibri" w:cs="Calibri"/>
                <w:bCs/>
                <w:color w:val="010205"/>
                <w:sz w:val="20"/>
                <w:szCs w:val="20"/>
              </w:rPr>
              <w:t xml:space="preserve"> Value: 0.080</w:t>
            </w:r>
          </w:p>
          <w:p w14:paraId="18CA1A11" w14:textId="77777777" w:rsidR="00B95AED" w:rsidRPr="00B95AED" w:rsidRDefault="00B95AED" w:rsidP="008D17B8">
            <w:pPr>
              <w:spacing w:line="320" w:lineRule="atLeast"/>
              <w:ind w:left="60" w:right="60"/>
              <w:jc w:val="center"/>
              <w:rPr>
                <w:rFonts w:ascii="Calibri" w:hAnsi="Calibri" w:cs="Calibri"/>
                <w:bCs/>
                <w:color w:val="010205"/>
                <w:sz w:val="20"/>
                <w:szCs w:val="20"/>
              </w:rPr>
            </w:pPr>
          </w:p>
        </w:tc>
      </w:tr>
      <w:tr w:rsidR="0075637E" w:rsidRPr="00B95AED" w14:paraId="47B8B4A8" w14:textId="77777777" w:rsidTr="0075637E">
        <w:trPr>
          <w:cantSplit/>
          <w:trHeight w:val="20"/>
        </w:trPr>
        <w:tc>
          <w:tcPr>
            <w:tcW w:w="720" w:type="dxa"/>
            <w:vMerge/>
            <w:textDirection w:val="btLr"/>
          </w:tcPr>
          <w:p w14:paraId="4440A3F9" w14:textId="77777777" w:rsidR="00B95AED" w:rsidRPr="00B95AED" w:rsidRDefault="00B95AED" w:rsidP="009F7AAF">
            <w:pPr>
              <w:ind w:left="-203" w:right="113"/>
              <w:jc w:val="center"/>
              <w:rPr>
                <w:rFonts w:ascii="Calibri" w:hAnsi="Calibri" w:cs="Calibri"/>
                <w:color w:val="000000" w:themeColor="text1"/>
                <w:sz w:val="20"/>
                <w:szCs w:val="20"/>
              </w:rPr>
            </w:pPr>
          </w:p>
        </w:tc>
        <w:tc>
          <w:tcPr>
            <w:tcW w:w="900" w:type="dxa"/>
          </w:tcPr>
          <w:p w14:paraId="7EDF64BD" w14:textId="2EE6EACE" w:rsidR="00B95AED" w:rsidRPr="00B95AED" w:rsidRDefault="00A72B5A" w:rsidP="00A72B5A">
            <w:pPr>
              <w:spacing w:line="320" w:lineRule="atLeast"/>
              <w:ind w:left="-131" w:hanging="11"/>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56 To 60</w:t>
            </w:r>
          </w:p>
        </w:tc>
        <w:tc>
          <w:tcPr>
            <w:tcW w:w="895" w:type="dxa"/>
          </w:tcPr>
          <w:p w14:paraId="5B28AC55"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990" w:type="dxa"/>
          </w:tcPr>
          <w:p w14:paraId="42681484"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1170" w:type="dxa"/>
          </w:tcPr>
          <w:p w14:paraId="2DE7EB6A"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18</w:t>
            </w:r>
          </w:p>
        </w:tc>
        <w:tc>
          <w:tcPr>
            <w:tcW w:w="900" w:type="dxa"/>
          </w:tcPr>
          <w:p w14:paraId="353F04B8"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990" w:type="dxa"/>
          </w:tcPr>
          <w:p w14:paraId="4DA4DE0F"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0</w:t>
            </w:r>
          </w:p>
        </w:tc>
        <w:tc>
          <w:tcPr>
            <w:tcW w:w="1080" w:type="dxa"/>
          </w:tcPr>
          <w:p w14:paraId="48E7CFC6"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34 (17.71%)</w:t>
            </w:r>
          </w:p>
        </w:tc>
        <w:tc>
          <w:tcPr>
            <w:tcW w:w="1080" w:type="dxa"/>
            <w:vMerge/>
          </w:tcPr>
          <w:p w14:paraId="001AAF1B"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1ABC5FED"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11B66CB7" w14:textId="77777777" w:rsidTr="0075637E">
        <w:trPr>
          <w:cantSplit/>
          <w:trHeight w:val="20"/>
        </w:trPr>
        <w:tc>
          <w:tcPr>
            <w:tcW w:w="720" w:type="dxa"/>
            <w:vMerge/>
            <w:textDirection w:val="btLr"/>
          </w:tcPr>
          <w:p w14:paraId="13F763AE" w14:textId="77777777" w:rsidR="00B95AED" w:rsidRPr="00B95AED" w:rsidRDefault="00B95AED" w:rsidP="009F7AAF">
            <w:pPr>
              <w:ind w:left="-203" w:right="113"/>
              <w:jc w:val="center"/>
              <w:rPr>
                <w:rFonts w:ascii="Calibri" w:hAnsi="Calibri" w:cs="Calibri"/>
                <w:color w:val="000000" w:themeColor="text1"/>
                <w:sz w:val="20"/>
                <w:szCs w:val="20"/>
              </w:rPr>
            </w:pPr>
          </w:p>
        </w:tc>
        <w:tc>
          <w:tcPr>
            <w:tcW w:w="900" w:type="dxa"/>
          </w:tcPr>
          <w:p w14:paraId="14B7CB1A" w14:textId="4C988F89" w:rsidR="00B95AED" w:rsidRPr="00B95AED" w:rsidRDefault="00A72B5A" w:rsidP="00A72B5A">
            <w:pPr>
              <w:spacing w:line="320" w:lineRule="atLeast"/>
              <w:ind w:left="-131" w:hanging="11"/>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61 To 65</w:t>
            </w:r>
          </w:p>
        </w:tc>
        <w:tc>
          <w:tcPr>
            <w:tcW w:w="895" w:type="dxa"/>
          </w:tcPr>
          <w:p w14:paraId="69F76375"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9</w:t>
            </w:r>
          </w:p>
        </w:tc>
        <w:tc>
          <w:tcPr>
            <w:tcW w:w="990" w:type="dxa"/>
          </w:tcPr>
          <w:p w14:paraId="52AF767D"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11</w:t>
            </w:r>
          </w:p>
        </w:tc>
        <w:tc>
          <w:tcPr>
            <w:tcW w:w="1170" w:type="dxa"/>
          </w:tcPr>
          <w:p w14:paraId="30618456"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13</w:t>
            </w:r>
          </w:p>
        </w:tc>
        <w:tc>
          <w:tcPr>
            <w:tcW w:w="900" w:type="dxa"/>
          </w:tcPr>
          <w:p w14:paraId="281E9270"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7</w:t>
            </w:r>
          </w:p>
        </w:tc>
        <w:tc>
          <w:tcPr>
            <w:tcW w:w="990" w:type="dxa"/>
          </w:tcPr>
          <w:p w14:paraId="37E49932"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0</w:t>
            </w:r>
          </w:p>
        </w:tc>
        <w:tc>
          <w:tcPr>
            <w:tcW w:w="1080" w:type="dxa"/>
          </w:tcPr>
          <w:p w14:paraId="57D5EA14"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40 (20.83%)</w:t>
            </w:r>
          </w:p>
        </w:tc>
        <w:tc>
          <w:tcPr>
            <w:tcW w:w="1080" w:type="dxa"/>
            <w:vMerge/>
          </w:tcPr>
          <w:p w14:paraId="4481F614"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48CA3DEC"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35054E5D" w14:textId="77777777" w:rsidTr="0075637E">
        <w:trPr>
          <w:cantSplit/>
          <w:trHeight w:val="20"/>
        </w:trPr>
        <w:tc>
          <w:tcPr>
            <w:tcW w:w="720" w:type="dxa"/>
            <w:vMerge/>
            <w:textDirection w:val="btLr"/>
          </w:tcPr>
          <w:p w14:paraId="1E756420" w14:textId="77777777" w:rsidR="00B95AED" w:rsidRPr="00B95AED" w:rsidRDefault="00B95AED" w:rsidP="009F7AAF">
            <w:pPr>
              <w:ind w:left="-203" w:right="113"/>
              <w:jc w:val="center"/>
              <w:rPr>
                <w:rFonts w:ascii="Calibri" w:hAnsi="Calibri" w:cs="Calibri"/>
                <w:color w:val="000000" w:themeColor="text1"/>
                <w:sz w:val="20"/>
                <w:szCs w:val="20"/>
              </w:rPr>
            </w:pPr>
          </w:p>
        </w:tc>
        <w:tc>
          <w:tcPr>
            <w:tcW w:w="900" w:type="dxa"/>
          </w:tcPr>
          <w:p w14:paraId="188EE995" w14:textId="13C762B3" w:rsidR="00B95AED" w:rsidRPr="00B95AED" w:rsidRDefault="00A72B5A" w:rsidP="00A72B5A">
            <w:pPr>
              <w:spacing w:line="320" w:lineRule="atLeast"/>
              <w:ind w:left="-131" w:hanging="11"/>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66 To 70</w:t>
            </w:r>
          </w:p>
        </w:tc>
        <w:tc>
          <w:tcPr>
            <w:tcW w:w="895" w:type="dxa"/>
          </w:tcPr>
          <w:p w14:paraId="3DA3B752"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12</w:t>
            </w:r>
          </w:p>
        </w:tc>
        <w:tc>
          <w:tcPr>
            <w:tcW w:w="990" w:type="dxa"/>
          </w:tcPr>
          <w:p w14:paraId="4CBC957D"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14</w:t>
            </w:r>
          </w:p>
        </w:tc>
        <w:tc>
          <w:tcPr>
            <w:tcW w:w="1170" w:type="dxa"/>
          </w:tcPr>
          <w:p w14:paraId="79BFA7EF"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13</w:t>
            </w:r>
          </w:p>
        </w:tc>
        <w:tc>
          <w:tcPr>
            <w:tcW w:w="900" w:type="dxa"/>
          </w:tcPr>
          <w:p w14:paraId="489A7F9F"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8</w:t>
            </w:r>
          </w:p>
        </w:tc>
        <w:tc>
          <w:tcPr>
            <w:tcW w:w="990" w:type="dxa"/>
          </w:tcPr>
          <w:p w14:paraId="6A1EE414"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w:t>
            </w:r>
          </w:p>
        </w:tc>
        <w:tc>
          <w:tcPr>
            <w:tcW w:w="1080" w:type="dxa"/>
          </w:tcPr>
          <w:p w14:paraId="3E20D3FE"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49 (25.52%)</w:t>
            </w:r>
          </w:p>
        </w:tc>
        <w:tc>
          <w:tcPr>
            <w:tcW w:w="1080" w:type="dxa"/>
            <w:vMerge/>
          </w:tcPr>
          <w:p w14:paraId="0C71935D"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7C2F1353"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65256E2C" w14:textId="77777777" w:rsidTr="0075637E">
        <w:trPr>
          <w:cantSplit/>
          <w:trHeight w:val="20"/>
        </w:trPr>
        <w:tc>
          <w:tcPr>
            <w:tcW w:w="720" w:type="dxa"/>
            <w:vMerge/>
            <w:textDirection w:val="btLr"/>
          </w:tcPr>
          <w:p w14:paraId="279C1F54" w14:textId="77777777" w:rsidR="00B95AED" w:rsidRPr="00B95AED" w:rsidRDefault="00B95AED" w:rsidP="009F7AAF">
            <w:pPr>
              <w:ind w:left="-203" w:right="113"/>
              <w:jc w:val="center"/>
              <w:rPr>
                <w:rFonts w:ascii="Calibri" w:hAnsi="Calibri" w:cs="Calibri"/>
                <w:color w:val="000000" w:themeColor="text1"/>
                <w:sz w:val="20"/>
                <w:szCs w:val="20"/>
              </w:rPr>
            </w:pPr>
          </w:p>
        </w:tc>
        <w:tc>
          <w:tcPr>
            <w:tcW w:w="900" w:type="dxa"/>
          </w:tcPr>
          <w:p w14:paraId="2B6A8F51" w14:textId="63221E07" w:rsidR="00B95AED" w:rsidRPr="00B95AED" w:rsidRDefault="00A72B5A" w:rsidP="00A72B5A">
            <w:pPr>
              <w:spacing w:line="320" w:lineRule="atLeast"/>
              <w:ind w:left="-131" w:hanging="11"/>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71 To 75</w:t>
            </w:r>
          </w:p>
        </w:tc>
        <w:tc>
          <w:tcPr>
            <w:tcW w:w="895" w:type="dxa"/>
          </w:tcPr>
          <w:p w14:paraId="3208D9F0"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5</w:t>
            </w:r>
          </w:p>
        </w:tc>
        <w:tc>
          <w:tcPr>
            <w:tcW w:w="990" w:type="dxa"/>
          </w:tcPr>
          <w:p w14:paraId="189D98EB"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10</w:t>
            </w:r>
          </w:p>
        </w:tc>
        <w:tc>
          <w:tcPr>
            <w:tcW w:w="1170" w:type="dxa"/>
          </w:tcPr>
          <w:p w14:paraId="710022D8"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5</w:t>
            </w:r>
          </w:p>
        </w:tc>
        <w:tc>
          <w:tcPr>
            <w:tcW w:w="900" w:type="dxa"/>
          </w:tcPr>
          <w:p w14:paraId="2D45B081"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990" w:type="dxa"/>
          </w:tcPr>
          <w:p w14:paraId="65911E67"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8</w:t>
            </w:r>
          </w:p>
        </w:tc>
        <w:tc>
          <w:tcPr>
            <w:tcW w:w="1080" w:type="dxa"/>
          </w:tcPr>
          <w:p w14:paraId="0B483195"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32 (16.67%)</w:t>
            </w:r>
          </w:p>
        </w:tc>
        <w:tc>
          <w:tcPr>
            <w:tcW w:w="1080" w:type="dxa"/>
            <w:vMerge/>
          </w:tcPr>
          <w:p w14:paraId="6BA2E4A3"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632A344E"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128D0703" w14:textId="77777777" w:rsidTr="0075637E">
        <w:trPr>
          <w:cantSplit/>
          <w:trHeight w:val="20"/>
        </w:trPr>
        <w:tc>
          <w:tcPr>
            <w:tcW w:w="720" w:type="dxa"/>
            <w:vMerge/>
            <w:textDirection w:val="btLr"/>
          </w:tcPr>
          <w:p w14:paraId="68008604" w14:textId="77777777" w:rsidR="00B95AED" w:rsidRPr="00B95AED" w:rsidRDefault="00B95AED" w:rsidP="009F7AAF">
            <w:pPr>
              <w:ind w:left="-203" w:right="113"/>
              <w:jc w:val="center"/>
              <w:rPr>
                <w:rFonts w:ascii="Calibri" w:hAnsi="Calibri" w:cs="Calibri"/>
                <w:color w:val="000000" w:themeColor="text1"/>
                <w:sz w:val="20"/>
                <w:szCs w:val="20"/>
              </w:rPr>
            </w:pPr>
          </w:p>
        </w:tc>
        <w:tc>
          <w:tcPr>
            <w:tcW w:w="900" w:type="dxa"/>
          </w:tcPr>
          <w:p w14:paraId="77224734" w14:textId="77777777" w:rsidR="00B95AED" w:rsidRPr="00B95AED" w:rsidRDefault="00B95AED" w:rsidP="00A72B5A">
            <w:pPr>
              <w:spacing w:line="320" w:lineRule="atLeast"/>
              <w:ind w:left="-11"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76 To 80</w:t>
            </w:r>
          </w:p>
        </w:tc>
        <w:tc>
          <w:tcPr>
            <w:tcW w:w="895" w:type="dxa"/>
          </w:tcPr>
          <w:p w14:paraId="79128A7A"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990" w:type="dxa"/>
          </w:tcPr>
          <w:p w14:paraId="57575C6F"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1170" w:type="dxa"/>
          </w:tcPr>
          <w:p w14:paraId="4D8200BD"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3</w:t>
            </w:r>
          </w:p>
        </w:tc>
        <w:tc>
          <w:tcPr>
            <w:tcW w:w="900" w:type="dxa"/>
          </w:tcPr>
          <w:p w14:paraId="0F633A84"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0</w:t>
            </w:r>
          </w:p>
        </w:tc>
        <w:tc>
          <w:tcPr>
            <w:tcW w:w="990" w:type="dxa"/>
          </w:tcPr>
          <w:p w14:paraId="6CC883FC"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1080" w:type="dxa"/>
          </w:tcPr>
          <w:p w14:paraId="637C56ED"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19 (9.90%)</w:t>
            </w:r>
          </w:p>
        </w:tc>
        <w:tc>
          <w:tcPr>
            <w:tcW w:w="1080" w:type="dxa"/>
            <w:vMerge/>
          </w:tcPr>
          <w:p w14:paraId="341FB005"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3EB07533"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01E99E76" w14:textId="77777777" w:rsidTr="0075637E">
        <w:trPr>
          <w:cantSplit/>
          <w:trHeight w:val="20"/>
        </w:trPr>
        <w:tc>
          <w:tcPr>
            <w:tcW w:w="720" w:type="dxa"/>
            <w:vMerge/>
            <w:textDirection w:val="btLr"/>
          </w:tcPr>
          <w:p w14:paraId="4752BDA1" w14:textId="77777777" w:rsidR="00B95AED" w:rsidRPr="00B95AED" w:rsidRDefault="00B95AED" w:rsidP="009F7AAF">
            <w:pPr>
              <w:spacing w:line="320" w:lineRule="atLeast"/>
              <w:ind w:left="-203" w:right="60"/>
              <w:jc w:val="center"/>
              <w:rPr>
                <w:rFonts w:ascii="Calibri" w:hAnsi="Calibri" w:cs="Calibri"/>
                <w:color w:val="000000" w:themeColor="text1"/>
                <w:sz w:val="20"/>
                <w:szCs w:val="20"/>
              </w:rPr>
            </w:pPr>
          </w:p>
        </w:tc>
        <w:tc>
          <w:tcPr>
            <w:tcW w:w="900" w:type="dxa"/>
          </w:tcPr>
          <w:p w14:paraId="0D519D1F" w14:textId="13C8A7DE" w:rsidR="00B95AED" w:rsidRPr="00B95AED" w:rsidRDefault="00B95AED" w:rsidP="0075637E">
            <w:pPr>
              <w:spacing w:line="320" w:lineRule="atLeast"/>
              <w:ind w:left="-116" w:right="-103"/>
              <w:rPr>
                <w:rFonts w:ascii="Calibri" w:hAnsi="Calibri" w:cs="Calibri"/>
                <w:bCs/>
                <w:color w:val="000000" w:themeColor="text1"/>
                <w:sz w:val="20"/>
                <w:szCs w:val="20"/>
              </w:rPr>
            </w:pPr>
            <w:r w:rsidRPr="00B95AED">
              <w:rPr>
                <w:rFonts w:ascii="Calibri" w:hAnsi="Calibri" w:cs="Calibri"/>
                <w:bCs/>
                <w:color w:val="000000" w:themeColor="text1"/>
                <w:sz w:val="20"/>
                <w:szCs w:val="20"/>
              </w:rPr>
              <w:t>Total</w:t>
            </w:r>
            <w:r w:rsidR="0075637E">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N (%)</w:t>
            </w:r>
          </w:p>
        </w:tc>
        <w:tc>
          <w:tcPr>
            <w:tcW w:w="895" w:type="dxa"/>
          </w:tcPr>
          <w:p w14:paraId="5E100F7C" w14:textId="5C59DF55" w:rsidR="00B95AED" w:rsidRPr="00B95AED" w:rsidRDefault="00B526A2" w:rsidP="00B526A2">
            <w:pPr>
              <w:spacing w:line="320" w:lineRule="atLeast"/>
              <w:ind w:left="-103" w:right="-108"/>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38 (19.8)</w:t>
            </w:r>
          </w:p>
        </w:tc>
        <w:tc>
          <w:tcPr>
            <w:tcW w:w="990" w:type="dxa"/>
          </w:tcPr>
          <w:p w14:paraId="078E0847" w14:textId="4D7C54D6" w:rsidR="00B95AED" w:rsidRPr="00B95AED" w:rsidRDefault="00B526A2" w:rsidP="00B526A2">
            <w:pPr>
              <w:tabs>
                <w:tab w:val="left" w:pos="702"/>
              </w:tabs>
              <w:spacing w:line="320" w:lineRule="atLeast"/>
              <w:ind w:left="-108" w:right="60"/>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51 (26.6)</w:t>
            </w:r>
          </w:p>
        </w:tc>
        <w:tc>
          <w:tcPr>
            <w:tcW w:w="1170" w:type="dxa"/>
          </w:tcPr>
          <w:p w14:paraId="2BB44E11" w14:textId="09A8B6C7" w:rsidR="00B95AED" w:rsidRPr="00B95AED" w:rsidRDefault="00B95AED" w:rsidP="00B526A2">
            <w:pPr>
              <w:spacing w:line="320" w:lineRule="atLeast"/>
              <w:ind w:left="-16" w:right="-18"/>
              <w:rPr>
                <w:rFonts w:ascii="Calibri" w:hAnsi="Calibri" w:cs="Calibri"/>
                <w:bCs/>
                <w:color w:val="000000" w:themeColor="text1"/>
                <w:sz w:val="20"/>
                <w:szCs w:val="20"/>
              </w:rPr>
            </w:pPr>
            <w:r w:rsidRPr="00B95AED">
              <w:rPr>
                <w:rFonts w:ascii="Calibri" w:hAnsi="Calibri" w:cs="Calibri"/>
                <w:bCs/>
                <w:color w:val="000000" w:themeColor="text1"/>
                <w:sz w:val="20"/>
                <w:szCs w:val="20"/>
              </w:rPr>
              <w:t>58 (30.2)</w:t>
            </w:r>
          </w:p>
        </w:tc>
        <w:tc>
          <w:tcPr>
            <w:tcW w:w="900" w:type="dxa"/>
          </w:tcPr>
          <w:p w14:paraId="3F23B905" w14:textId="2878AABD" w:rsidR="00B95AED" w:rsidRPr="00B95AED" w:rsidRDefault="00B526A2" w:rsidP="00B526A2">
            <w:pPr>
              <w:tabs>
                <w:tab w:val="left" w:pos="340"/>
                <w:tab w:val="left" w:pos="612"/>
              </w:tabs>
              <w:spacing w:line="320" w:lineRule="atLeast"/>
              <w:ind w:left="-110" w:right="60"/>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29 15.1)</w:t>
            </w:r>
          </w:p>
        </w:tc>
        <w:tc>
          <w:tcPr>
            <w:tcW w:w="990" w:type="dxa"/>
          </w:tcPr>
          <w:p w14:paraId="6AAD9463" w14:textId="0C0CCC35" w:rsidR="00B95AED" w:rsidRPr="00B95AED" w:rsidRDefault="00B95AED" w:rsidP="00B526A2">
            <w:pPr>
              <w:spacing w:line="320" w:lineRule="atLeast"/>
              <w:ind w:left="-22"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16</w:t>
            </w:r>
            <w:r w:rsidR="00B526A2">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(8.3)</w:t>
            </w:r>
          </w:p>
        </w:tc>
        <w:tc>
          <w:tcPr>
            <w:tcW w:w="1080" w:type="dxa"/>
          </w:tcPr>
          <w:p w14:paraId="20227F92" w14:textId="77777777" w:rsidR="00B95AED" w:rsidRPr="00B95AED" w:rsidRDefault="00B95AED" w:rsidP="0075637E">
            <w:pPr>
              <w:spacing w:line="320" w:lineRule="atLeast"/>
              <w:ind w:left="60" w:right="-115" w:hanging="80"/>
              <w:rPr>
                <w:rFonts w:ascii="Calibri" w:hAnsi="Calibri" w:cs="Calibri"/>
                <w:bCs/>
                <w:color w:val="000000" w:themeColor="text1"/>
                <w:sz w:val="20"/>
                <w:szCs w:val="20"/>
              </w:rPr>
            </w:pPr>
            <w:r w:rsidRPr="00B95AED">
              <w:rPr>
                <w:rFonts w:ascii="Calibri" w:hAnsi="Calibri" w:cs="Calibri"/>
                <w:bCs/>
                <w:color w:val="000000" w:themeColor="text1"/>
                <w:sz w:val="20"/>
                <w:szCs w:val="20"/>
              </w:rPr>
              <w:t>192 (100%)</w:t>
            </w:r>
          </w:p>
        </w:tc>
        <w:tc>
          <w:tcPr>
            <w:tcW w:w="1080" w:type="dxa"/>
            <w:vMerge/>
          </w:tcPr>
          <w:p w14:paraId="6684C334" w14:textId="77777777" w:rsidR="00B95AED" w:rsidRPr="00B95AED" w:rsidRDefault="00B95AED" w:rsidP="008D17B8">
            <w:pPr>
              <w:spacing w:line="320" w:lineRule="atLeast"/>
              <w:ind w:left="60" w:right="60"/>
              <w:jc w:val="right"/>
              <w:rPr>
                <w:rFonts w:ascii="Calibri" w:hAnsi="Calibri" w:cs="Calibri"/>
                <w:bCs/>
                <w:color w:val="000000" w:themeColor="text1"/>
                <w:sz w:val="20"/>
                <w:szCs w:val="20"/>
              </w:rPr>
            </w:pPr>
          </w:p>
        </w:tc>
        <w:tc>
          <w:tcPr>
            <w:tcW w:w="900" w:type="dxa"/>
            <w:vMerge/>
          </w:tcPr>
          <w:p w14:paraId="0E418074" w14:textId="77777777" w:rsidR="00B95AED" w:rsidRPr="00B95AED" w:rsidRDefault="00B95AED" w:rsidP="008D17B8">
            <w:pPr>
              <w:spacing w:line="320" w:lineRule="atLeast"/>
              <w:ind w:left="60" w:right="60"/>
              <w:jc w:val="right"/>
              <w:rPr>
                <w:rFonts w:ascii="Calibri" w:hAnsi="Calibri" w:cs="Calibri"/>
                <w:bCs/>
                <w:color w:val="000000" w:themeColor="text1"/>
                <w:sz w:val="20"/>
                <w:szCs w:val="20"/>
              </w:rPr>
            </w:pPr>
          </w:p>
        </w:tc>
      </w:tr>
      <w:tr w:rsidR="0075637E" w:rsidRPr="00B95AED" w14:paraId="6643D059" w14:textId="77777777" w:rsidTr="0075637E">
        <w:trPr>
          <w:cantSplit/>
          <w:trHeight w:val="20"/>
        </w:trPr>
        <w:tc>
          <w:tcPr>
            <w:tcW w:w="720" w:type="dxa"/>
            <w:vMerge w:val="restart"/>
          </w:tcPr>
          <w:p w14:paraId="7A70D0CE" w14:textId="77777777" w:rsidR="00B95AED" w:rsidRPr="00B95AED" w:rsidRDefault="00B95AED" w:rsidP="009F7AAF">
            <w:pPr>
              <w:spacing w:line="320" w:lineRule="atLeast"/>
              <w:ind w:left="-203" w:right="60"/>
              <w:jc w:val="center"/>
              <w:rPr>
                <w:rFonts w:ascii="Calibri" w:hAnsi="Calibri" w:cs="Calibri"/>
                <w:color w:val="000000" w:themeColor="text1"/>
                <w:sz w:val="20"/>
                <w:szCs w:val="20"/>
              </w:rPr>
            </w:pPr>
            <w:r w:rsidRPr="00B95AED">
              <w:rPr>
                <w:rFonts w:ascii="Calibri" w:hAnsi="Calibri" w:cs="Calibri"/>
                <w:color w:val="000000" w:themeColor="text1"/>
                <w:sz w:val="20"/>
                <w:szCs w:val="20"/>
              </w:rPr>
              <w:lastRenderedPageBreak/>
              <w:t>Left</w:t>
            </w:r>
          </w:p>
        </w:tc>
        <w:tc>
          <w:tcPr>
            <w:tcW w:w="900" w:type="dxa"/>
          </w:tcPr>
          <w:p w14:paraId="55077B07" w14:textId="77777777" w:rsidR="00B95AED" w:rsidRPr="00B95AED" w:rsidRDefault="00B95AED" w:rsidP="00A72B5A">
            <w:pPr>
              <w:spacing w:line="320" w:lineRule="atLeast"/>
              <w:ind w:left="-11"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50 To 55</w:t>
            </w:r>
          </w:p>
        </w:tc>
        <w:tc>
          <w:tcPr>
            <w:tcW w:w="895" w:type="dxa"/>
          </w:tcPr>
          <w:p w14:paraId="1B07A69E"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990" w:type="dxa"/>
          </w:tcPr>
          <w:p w14:paraId="0F8FC488"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1170" w:type="dxa"/>
          </w:tcPr>
          <w:p w14:paraId="197353AD"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5</w:t>
            </w:r>
          </w:p>
        </w:tc>
        <w:tc>
          <w:tcPr>
            <w:tcW w:w="900" w:type="dxa"/>
          </w:tcPr>
          <w:p w14:paraId="785DC526"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3</w:t>
            </w:r>
          </w:p>
        </w:tc>
        <w:tc>
          <w:tcPr>
            <w:tcW w:w="990" w:type="dxa"/>
          </w:tcPr>
          <w:p w14:paraId="40613093"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0</w:t>
            </w:r>
          </w:p>
        </w:tc>
        <w:tc>
          <w:tcPr>
            <w:tcW w:w="1080" w:type="dxa"/>
          </w:tcPr>
          <w:p w14:paraId="6B915549"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18 (9.37%)</w:t>
            </w:r>
          </w:p>
        </w:tc>
        <w:tc>
          <w:tcPr>
            <w:tcW w:w="1080" w:type="dxa"/>
            <w:vMerge w:val="restart"/>
          </w:tcPr>
          <w:p w14:paraId="4181C236" w14:textId="77777777" w:rsidR="00B95AED" w:rsidRPr="00B95AED" w:rsidRDefault="00B95AED" w:rsidP="0075637E">
            <w:pPr>
              <w:spacing w:line="320" w:lineRule="atLeast"/>
              <w:ind w:left="-191" w:right="-17"/>
              <w:jc w:val="center"/>
              <w:rPr>
                <w:rFonts w:ascii="Calibri" w:hAnsi="Calibri" w:cs="Calibri"/>
                <w:bCs/>
                <w:color w:val="010205"/>
                <w:sz w:val="20"/>
                <w:szCs w:val="20"/>
              </w:rPr>
            </w:pPr>
            <w:r w:rsidRPr="00B95AED">
              <w:rPr>
                <w:rFonts w:ascii="Calibri" w:hAnsi="Calibri" w:cs="Calibri"/>
                <w:bCs/>
                <w:color w:val="010205"/>
                <w:sz w:val="20"/>
                <w:szCs w:val="20"/>
              </w:rPr>
              <w:t>Value: 59.195</w:t>
            </w:r>
          </w:p>
          <w:p w14:paraId="2A0472A7" w14:textId="77777777" w:rsidR="00B95AED" w:rsidRPr="00B95AED" w:rsidRDefault="00B95AED" w:rsidP="0075637E">
            <w:pPr>
              <w:spacing w:line="320" w:lineRule="atLeast"/>
              <w:ind w:left="-191" w:right="-17"/>
              <w:jc w:val="center"/>
              <w:rPr>
                <w:rFonts w:ascii="Calibri" w:hAnsi="Calibri" w:cs="Calibri"/>
                <w:bCs/>
                <w:color w:val="010205"/>
                <w:sz w:val="20"/>
                <w:szCs w:val="20"/>
              </w:rPr>
            </w:pPr>
            <w:r w:rsidRPr="00B95AED">
              <w:rPr>
                <w:rFonts w:ascii="Calibri" w:hAnsi="Calibri" w:cs="Calibri"/>
                <w:bCs/>
                <w:color w:val="010205"/>
                <w:sz w:val="20"/>
                <w:szCs w:val="20"/>
              </w:rPr>
              <w:t>P-Value: 0.000</w:t>
            </w:r>
          </w:p>
        </w:tc>
        <w:tc>
          <w:tcPr>
            <w:tcW w:w="900" w:type="dxa"/>
            <w:vMerge w:val="restart"/>
          </w:tcPr>
          <w:p w14:paraId="07AF2CC4" w14:textId="77777777" w:rsidR="00B95AED" w:rsidRPr="00B95AED" w:rsidRDefault="00B95AED" w:rsidP="008D17B8">
            <w:pPr>
              <w:spacing w:line="320" w:lineRule="atLeast"/>
              <w:ind w:left="60" w:right="60"/>
              <w:jc w:val="center"/>
              <w:rPr>
                <w:rFonts w:ascii="Calibri" w:hAnsi="Calibri" w:cs="Calibri"/>
                <w:bCs/>
                <w:color w:val="010205"/>
                <w:sz w:val="20"/>
                <w:szCs w:val="20"/>
              </w:rPr>
            </w:pPr>
            <w:r w:rsidRPr="00B95AED">
              <w:rPr>
                <w:rFonts w:ascii="Calibri" w:hAnsi="Calibri" w:cs="Calibri"/>
                <w:bCs/>
                <w:color w:val="010205"/>
                <w:sz w:val="20"/>
                <w:szCs w:val="20"/>
              </w:rPr>
              <w:t>Value: 0.092</w:t>
            </w:r>
          </w:p>
          <w:p w14:paraId="6655023D" w14:textId="77777777" w:rsidR="00B95AED" w:rsidRPr="00B95AED" w:rsidRDefault="00B95AED" w:rsidP="008D17B8">
            <w:pPr>
              <w:spacing w:line="320" w:lineRule="atLeast"/>
              <w:ind w:left="60" w:right="60"/>
              <w:jc w:val="center"/>
              <w:rPr>
                <w:rFonts w:ascii="Calibri" w:hAnsi="Calibri" w:cs="Calibri"/>
                <w:bCs/>
                <w:color w:val="010205"/>
                <w:sz w:val="20"/>
                <w:szCs w:val="20"/>
              </w:rPr>
            </w:pPr>
          </w:p>
        </w:tc>
      </w:tr>
      <w:tr w:rsidR="0075637E" w:rsidRPr="00B95AED" w14:paraId="67B5E776" w14:textId="77777777" w:rsidTr="0075637E">
        <w:trPr>
          <w:cantSplit/>
          <w:trHeight w:val="20"/>
        </w:trPr>
        <w:tc>
          <w:tcPr>
            <w:tcW w:w="720" w:type="dxa"/>
            <w:vMerge/>
          </w:tcPr>
          <w:p w14:paraId="529CDFA4" w14:textId="77777777" w:rsidR="00B95AED" w:rsidRPr="00B95AED" w:rsidRDefault="00B95AED" w:rsidP="009F7AAF">
            <w:pPr>
              <w:ind w:left="-203"/>
              <w:jc w:val="center"/>
              <w:rPr>
                <w:rFonts w:ascii="Calibri" w:hAnsi="Calibri" w:cs="Calibri"/>
                <w:color w:val="000000" w:themeColor="text1"/>
                <w:sz w:val="20"/>
                <w:szCs w:val="20"/>
              </w:rPr>
            </w:pPr>
          </w:p>
        </w:tc>
        <w:tc>
          <w:tcPr>
            <w:tcW w:w="900" w:type="dxa"/>
          </w:tcPr>
          <w:p w14:paraId="673C7356" w14:textId="77777777" w:rsidR="00B95AED" w:rsidRPr="00B95AED" w:rsidRDefault="00B95AED" w:rsidP="00A72B5A">
            <w:pPr>
              <w:spacing w:line="320" w:lineRule="atLeast"/>
              <w:ind w:left="-11"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56 To 60</w:t>
            </w:r>
          </w:p>
        </w:tc>
        <w:tc>
          <w:tcPr>
            <w:tcW w:w="895" w:type="dxa"/>
          </w:tcPr>
          <w:p w14:paraId="1521A581"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990" w:type="dxa"/>
          </w:tcPr>
          <w:p w14:paraId="46D6F19F"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1170" w:type="dxa"/>
          </w:tcPr>
          <w:p w14:paraId="3F003D99"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22</w:t>
            </w:r>
          </w:p>
        </w:tc>
        <w:tc>
          <w:tcPr>
            <w:tcW w:w="900" w:type="dxa"/>
          </w:tcPr>
          <w:p w14:paraId="0747F273"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w:t>
            </w:r>
          </w:p>
        </w:tc>
        <w:tc>
          <w:tcPr>
            <w:tcW w:w="990" w:type="dxa"/>
          </w:tcPr>
          <w:p w14:paraId="6E2CCD69"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0</w:t>
            </w:r>
          </w:p>
        </w:tc>
        <w:tc>
          <w:tcPr>
            <w:tcW w:w="1080" w:type="dxa"/>
          </w:tcPr>
          <w:p w14:paraId="47D138B8"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34 (17.71%)</w:t>
            </w:r>
          </w:p>
        </w:tc>
        <w:tc>
          <w:tcPr>
            <w:tcW w:w="1080" w:type="dxa"/>
            <w:vMerge/>
          </w:tcPr>
          <w:p w14:paraId="4079C32F"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1A41C1D6"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616BECB7" w14:textId="77777777" w:rsidTr="0075637E">
        <w:trPr>
          <w:cantSplit/>
          <w:trHeight w:val="20"/>
        </w:trPr>
        <w:tc>
          <w:tcPr>
            <w:tcW w:w="720" w:type="dxa"/>
            <w:vMerge/>
          </w:tcPr>
          <w:p w14:paraId="487D86F6" w14:textId="77777777" w:rsidR="00B95AED" w:rsidRPr="00B95AED" w:rsidRDefault="00B95AED" w:rsidP="009F7AAF">
            <w:pPr>
              <w:ind w:left="-203"/>
              <w:jc w:val="center"/>
              <w:rPr>
                <w:rFonts w:ascii="Calibri" w:hAnsi="Calibri" w:cs="Calibri"/>
                <w:color w:val="000000" w:themeColor="text1"/>
                <w:sz w:val="20"/>
                <w:szCs w:val="20"/>
              </w:rPr>
            </w:pPr>
          </w:p>
        </w:tc>
        <w:tc>
          <w:tcPr>
            <w:tcW w:w="900" w:type="dxa"/>
          </w:tcPr>
          <w:p w14:paraId="12AF7731" w14:textId="77777777" w:rsidR="00B95AED" w:rsidRPr="00B95AED" w:rsidRDefault="00B95AED" w:rsidP="00A72B5A">
            <w:pPr>
              <w:spacing w:line="320" w:lineRule="atLeast"/>
              <w:ind w:left="-11"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61 To 65</w:t>
            </w:r>
          </w:p>
        </w:tc>
        <w:tc>
          <w:tcPr>
            <w:tcW w:w="895" w:type="dxa"/>
          </w:tcPr>
          <w:p w14:paraId="707C54E3"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9</w:t>
            </w:r>
          </w:p>
        </w:tc>
        <w:tc>
          <w:tcPr>
            <w:tcW w:w="990" w:type="dxa"/>
          </w:tcPr>
          <w:p w14:paraId="6CD16A3E"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11</w:t>
            </w:r>
          </w:p>
        </w:tc>
        <w:tc>
          <w:tcPr>
            <w:tcW w:w="1170" w:type="dxa"/>
          </w:tcPr>
          <w:p w14:paraId="38E5CE60"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12</w:t>
            </w:r>
          </w:p>
        </w:tc>
        <w:tc>
          <w:tcPr>
            <w:tcW w:w="900" w:type="dxa"/>
          </w:tcPr>
          <w:p w14:paraId="632B0A78"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8</w:t>
            </w:r>
          </w:p>
        </w:tc>
        <w:tc>
          <w:tcPr>
            <w:tcW w:w="990" w:type="dxa"/>
          </w:tcPr>
          <w:p w14:paraId="053D9662"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0</w:t>
            </w:r>
          </w:p>
        </w:tc>
        <w:tc>
          <w:tcPr>
            <w:tcW w:w="1080" w:type="dxa"/>
          </w:tcPr>
          <w:p w14:paraId="26BED996"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40 (20.83%)</w:t>
            </w:r>
          </w:p>
        </w:tc>
        <w:tc>
          <w:tcPr>
            <w:tcW w:w="1080" w:type="dxa"/>
            <w:vMerge/>
          </w:tcPr>
          <w:p w14:paraId="02AE1AE0"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6C49AC82"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1108C8B7" w14:textId="77777777" w:rsidTr="0075637E">
        <w:trPr>
          <w:cantSplit/>
          <w:trHeight w:val="20"/>
        </w:trPr>
        <w:tc>
          <w:tcPr>
            <w:tcW w:w="720" w:type="dxa"/>
            <w:vMerge/>
          </w:tcPr>
          <w:p w14:paraId="04651235" w14:textId="77777777" w:rsidR="00B95AED" w:rsidRPr="00B95AED" w:rsidRDefault="00B95AED" w:rsidP="009F7AAF">
            <w:pPr>
              <w:ind w:left="-203"/>
              <w:jc w:val="center"/>
              <w:rPr>
                <w:rFonts w:ascii="Calibri" w:hAnsi="Calibri" w:cs="Calibri"/>
                <w:color w:val="000000" w:themeColor="text1"/>
                <w:sz w:val="20"/>
                <w:szCs w:val="20"/>
              </w:rPr>
            </w:pPr>
          </w:p>
        </w:tc>
        <w:tc>
          <w:tcPr>
            <w:tcW w:w="900" w:type="dxa"/>
          </w:tcPr>
          <w:p w14:paraId="34783A0B" w14:textId="77777777" w:rsidR="00B95AED" w:rsidRPr="00B95AED" w:rsidRDefault="00B95AED" w:rsidP="00A72B5A">
            <w:pPr>
              <w:spacing w:line="320" w:lineRule="atLeast"/>
              <w:ind w:left="-11"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66 To 70</w:t>
            </w:r>
          </w:p>
        </w:tc>
        <w:tc>
          <w:tcPr>
            <w:tcW w:w="895" w:type="dxa"/>
          </w:tcPr>
          <w:p w14:paraId="03579A15"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12</w:t>
            </w:r>
          </w:p>
        </w:tc>
        <w:tc>
          <w:tcPr>
            <w:tcW w:w="990" w:type="dxa"/>
          </w:tcPr>
          <w:p w14:paraId="52BEC230"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14</w:t>
            </w:r>
          </w:p>
        </w:tc>
        <w:tc>
          <w:tcPr>
            <w:tcW w:w="1170" w:type="dxa"/>
          </w:tcPr>
          <w:p w14:paraId="7B2C8BDE"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16</w:t>
            </w:r>
          </w:p>
        </w:tc>
        <w:tc>
          <w:tcPr>
            <w:tcW w:w="900" w:type="dxa"/>
          </w:tcPr>
          <w:p w14:paraId="76FEBB15"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990" w:type="dxa"/>
          </w:tcPr>
          <w:p w14:paraId="255C0326"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w:t>
            </w:r>
          </w:p>
        </w:tc>
        <w:tc>
          <w:tcPr>
            <w:tcW w:w="1080" w:type="dxa"/>
          </w:tcPr>
          <w:p w14:paraId="55F19FA5"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49 (25.53%)</w:t>
            </w:r>
          </w:p>
        </w:tc>
        <w:tc>
          <w:tcPr>
            <w:tcW w:w="1080" w:type="dxa"/>
            <w:vMerge/>
          </w:tcPr>
          <w:p w14:paraId="31866ACA"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0CBB85CD"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617C0F83" w14:textId="77777777" w:rsidTr="0075637E">
        <w:trPr>
          <w:cantSplit/>
          <w:trHeight w:val="20"/>
        </w:trPr>
        <w:tc>
          <w:tcPr>
            <w:tcW w:w="720" w:type="dxa"/>
            <w:vMerge/>
          </w:tcPr>
          <w:p w14:paraId="1908D3A6" w14:textId="77777777" w:rsidR="00B95AED" w:rsidRPr="00B95AED" w:rsidRDefault="00B95AED" w:rsidP="009F7AAF">
            <w:pPr>
              <w:ind w:left="-203"/>
              <w:jc w:val="center"/>
              <w:rPr>
                <w:rFonts w:ascii="Calibri" w:hAnsi="Calibri" w:cs="Calibri"/>
                <w:color w:val="000000" w:themeColor="text1"/>
                <w:sz w:val="20"/>
                <w:szCs w:val="20"/>
              </w:rPr>
            </w:pPr>
          </w:p>
        </w:tc>
        <w:tc>
          <w:tcPr>
            <w:tcW w:w="900" w:type="dxa"/>
          </w:tcPr>
          <w:p w14:paraId="02AC3F81" w14:textId="77777777" w:rsidR="00B95AED" w:rsidRPr="00B95AED" w:rsidRDefault="00B95AED" w:rsidP="00A72B5A">
            <w:pPr>
              <w:spacing w:line="320" w:lineRule="atLeast"/>
              <w:ind w:left="-11"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71 To 75</w:t>
            </w:r>
          </w:p>
        </w:tc>
        <w:tc>
          <w:tcPr>
            <w:tcW w:w="895" w:type="dxa"/>
          </w:tcPr>
          <w:p w14:paraId="250CF42F"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990" w:type="dxa"/>
          </w:tcPr>
          <w:p w14:paraId="7D006B04"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11</w:t>
            </w:r>
          </w:p>
        </w:tc>
        <w:tc>
          <w:tcPr>
            <w:tcW w:w="1170" w:type="dxa"/>
          </w:tcPr>
          <w:p w14:paraId="14167549"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900" w:type="dxa"/>
          </w:tcPr>
          <w:p w14:paraId="3C9E3CAC"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w:t>
            </w:r>
          </w:p>
        </w:tc>
        <w:tc>
          <w:tcPr>
            <w:tcW w:w="990" w:type="dxa"/>
          </w:tcPr>
          <w:p w14:paraId="1D8A7372"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9</w:t>
            </w:r>
          </w:p>
        </w:tc>
        <w:tc>
          <w:tcPr>
            <w:tcW w:w="1080" w:type="dxa"/>
          </w:tcPr>
          <w:p w14:paraId="637B9189"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32 (16.67%)</w:t>
            </w:r>
          </w:p>
        </w:tc>
        <w:tc>
          <w:tcPr>
            <w:tcW w:w="1080" w:type="dxa"/>
            <w:vMerge/>
          </w:tcPr>
          <w:p w14:paraId="168B2CA8"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743CF47B"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4AA6297D" w14:textId="77777777" w:rsidTr="0075637E">
        <w:trPr>
          <w:cantSplit/>
          <w:trHeight w:val="20"/>
        </w:trPr>
        <w:tc>
          <w:tcPr>
            <w:tcW w:w="720" w:type="dxa"/>
            <w:vMerge/>
          </w:tcPr>
          <w:p w14:paraId="6F6C061B" w14:textId="77777777" w:rsidR="00B95AED" w:rsidRPr="00B95AED" w:rsidRDefault="00B95AED" w:rsidP="009F7AAF">
            <w:pPr>
              <w:ind w:left="-203"/>
              <w:jc w:val="center"/>
              <w:rPr>
                <w:rFonts w:ascii="Calibri" w:hAnsi="Calibri" w:cs="Calibri"/>
                <w:color w:val="000000" w:themeColor="text1"/>
                <w:sz w:val="20"/>
                <w:szCs w:val="20"/>
              </w:rPr>
            </w:pPr>
          </w:p>
        </w:tc>
        <w:tc>
          <w:tcPr>
            <w:tcW w:w="900" w:type="dxa"/>
          </w:tcPr>
          <w:p w14:paraId="1E331AC5" w14:textId="77777777" w:rsidR="00B95AED" w:rsidRPr="00B95AED" w:rsidRDefault="00B95AED" w:rsidP="00A72B5A">
            <w:pPr>
              <w:spacing w:line="320" w:lineRule="atLeast"/>
              <w:ind w:left="-11"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76 To 80</w:t>
            </w:r>
          </w:p>
        </w:tc>
        <w:tc>
          <w:tcPr>
            <w:tcW w:w="895" w:type="dxa"/>
          </w:tcPr>
          <w:p w14:paraId="2996ACD8"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5</w:t>
            </w:r>
          </w:p>
        </w:tc>
        <w:tc>
          <w:tcPr>
            <w:tcW w:w="990" w:type="dxa"/>
          </w:tcPr>
          <w:p w14:paraId="14719391"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1170" w:type="dxa"/>
          </w:tcPr>
          <w:p w14:paraId="6436E4E2"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900" w:type="dxa"/>
          </w:tcPr>
          <w:p w14:paraId="28F7AFAF"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0</w:t>
            </w:r>
          </w:p>
        </w:tc>
        <w:tc>
          <w:tcPr>
            <w:tcW w:w="990" w:type="dxa"/>
          </w:tcPr>
          <w:p w14:paraId="411B9089" w14:textId="77777777" w:rsidR="00B95AED" w:rsidRPr="00B95AED" w:rsidRDefault="00B95AED" w:rsidP="008D17B8">
            <w:pPr>
              <w:spacing w:line="320" w:lineRule="atLeast"/>
              <w:ind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1080" w:type="dxa"/>
          </w:tcPr>
          <w:p w14:paraId="5984A7F1" w14:textId="77777777" w:rsidR="00B95AED" w:rsidRPr="00B95AED" w:rsidRDefault="00B95AED" w:rsidP="0075637E">
            <w:pPr>
              <w:spacing w:line="320" w:lineRule="atLeast"/>
              <w:ind w:left="60" w:right="-115" w:hanging="80"/>
              <w:rPr>
                <w:rFonts w:ascii="Calibri" w:hAnsi="Calibri" w:cs="Calibri"/>
                <w:bCs/>
                <w:color w:val="010205"/>
                <w:sz w:val="20"/>
                <w:szCs w:val="20"/>
              </w:rPr>
            </w:pPr>
            <w:r w:rsidRPr="00B95AED">
              <w:rPr>
                <w:rFonts w:ascii="Calibri" w:hAnsi="Calibri" w:cs="Calibri"/>
                <w:bCs/>
                <w:color w:val="010205"/>
                <w:sz w:val="20"/>
                <w:szCs w:val="20"/>
              </w:rPr>
              <w:t>19 (9.89%)</w:t>
            </w:r>
          </w:p>
        </w:tc>
        <w:tc>
          <w:tcPr>
            <w:tcW w:w="1080" w:type="dxa"/>
            <w:vMerge/>
          </w:tcPr>
          <w:p w14:paraId="512BB007"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c>
          <w:tcPr>
            <w:tcW w:w="900" w:type="dxa"/>
            <w:vMerge/>
          </w:tcPr>
          <w:p w14:paraId="140CD077" w14:textId="77777777" w:rsidR="00B95AED" w:rsidRPr="00B95AED" w:rsidRDefault="00B95AED" w:rsidP="008D17B8">
            <w:pPr>
              <w:spacing w:line="320" w:lineRule="atLeast"/>
              <w:ind w:left="60" w:right="60"/>
              <w:jc w:val="right"/>
              <w:rPr>
                <w:rFonts w:ascii="Calibri" w:hAnsi="Calibri" w:cs="Calibri"/>
                <w:bCs/>
                <w:color w:val="010205"/>
                <w:sz w:val="20"/>
                <w:szCs w:val="20"/>
              </w:rPr>
            </w:pPr>
          </w:p>
        </w:tc>
      </w:tr>
      <w:tr w:rsidR="0075637E" w:rsidRPr="00B95AED" w14:paraId="0745C066" w14:textId="77777777" w:rsidTr="0075637E">
        <w:trPr>
          <w:cantSplit/>
          <w:trHeight w:val="20"/>
        </w:trPr>
        <w:tc>
          <w:tcPr>
            <w:tcW w:w="720" w:type="dxa"/>
            <w:vMerge/>
          </w:tcPr>
          <w:p w14:paraId="63928C74" w14:textId="77777777" w:rsidR="00B95AED" w:rsidRPr="00B95AED" w:rsidRDefault="00B95AED" w:rsidP="009F7AAF">
            <w:pPr>
              <w:spacing w:line="320" w:lineRule="atLeast"/>
              <w:ind w:left="-203" w:right="60"/>
              <w:jc w:val="center"/>
              <w:rPr>
                <w:rFonts w:ascii="Calibri" w:hAnsi="Calibri" w:cs="Calibri"/>
                <w:color w:val="000000" w:themeColor="text1"/>
                <w:sz w:val="20"/>
                <w:szCs w:val="20"/>
              </w:rPr>
            </w:pPr>
          </w:p>
        </w:tc>
        <w:tc>
          <w:tcPr>
            <w:tcW w:w="900" w:type="dxa"/>
          </w:tcPr>
          <w:p w14:paraId="4AAE4C8E" w14:textId="5B73BEB4" w:rsidR="00B95AED" w:rsidRPr="00B95AED" w:rsidRDefault="00B95AED" w:rsidP="00B91378">
            <w:pPr>
              <w:spacing w:line="320" w:lineRule="atLeast"/>
              <w:ind w:left="-116"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Total</w:t>
            </w:r>
            <w:r w:rsidR="00B91378">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N (%)</w:t>
            </w:r>
          </w:p>
        </w:tc>
        <w:tc>
          <w:tcPr>
            <w:tcW w:w="895" w:type="dxa"/>
          </w:tcPr>
          <w:p w14:paraId="0CC64B9E" w14:textId="1F7C8642" w:rsidR="00B95AED" w:rsidRPr="00B95AED" w:rsidRDefault="0075637E" w:rsidP="0075637E">
            <w:pPr>
              <w:spacing w:line="320" w:lineRule="atLeast"/>
              <w:ind w:left="-103" w:right="-18"/>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40</w:t>
            </w: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(20.8)</w:t>
            </w:r>
          </w:p>
        </w:tc>
        <w:tc>
          <w:tcPr>
            <w:tcW w:w="990" w:type="dxa"/>
          </w:tcPr>
          <w:p w14:paraId="40675E07" w14:textId="41D59E0F" w:rsidR="00B95AED" w:rsidRPr="00B95AED" w:rsidRDefault="00B95AED" w:rsidP="0075637E">
            <w:pPr>
              <w:spacing w:line="320" w:lineRule="atLeast"/>
              <w:ind w:left="-18" w:right="60"/>
              <w:rPr>
                <w:rFonts w:ascii="Calibri" w:hAnsi="Calibri" w:cs="Calibri"/>
                <w:bCs/>
                <w:color w:val="000000" w:themeColor="text1"/>
                <w:sz w:val="20"/>
                <w:szCs w:val="20"/>
              </w:rPr>
            </w:pPr>
            <w:r w:rsidRPr="00B95AED">
              <w:rPr>
                <w:rFonts w:ascii="Calibri" w:hAnsi="Calibri" w:cs="Calibri"/>
                <w:bCs/>
                <w:color w:val="000000" w:themeColor="text1"/>
                <w:sz w:val="20"/>
                <w:szCs w:val="20"/>
              </w:rPr>
              <w:t>52 (27.1)</w:t>
            </w:r>
          </w:p>
        </w:tc>
        <w:tc>
          <w:tcPr>
            <w:tcW w:w="1170" w:type="dxa"/>
          </w:tcPr>
          <w:p w14:paraId="04BDC78D" w14:textId="1D0FD04C" w:rsidR="00B95AED" w:rsidRPr="00B95AED" w:rsidRDefault="00B95AED" w:rsidP="0075637E">
            <w:pPr>
              <w:spacing w:line="320" w:lineRule="atLeast"/>
              <w:ind w:left="-16"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65 (33.9)</w:t>
            </w:r>
          </w:p>
        </w:tc>
        <w:tc>
          <w:tcPr>
            <w:tcW w:w="900" w:type="dxa"/>
          </w:tcPr>
          <w:p w14:paraId="497FAB94" w14:textId="6626AF0C" w:rsidR="00B95AED" w:rsidRPr="00B95AED" w:rsidRDefault="00B95AED" w:rsidP="0075637E">
            <w:pPr>
              <w:spacing w:line="320" w:lineRule="atLeast"/>
              <w:ind w:left="-18" w:right="-105"/>
              <w:rPr>
                <w:rFonts w:ascii="Calibri" w:hAnsi="Calibri" w:cs="Calibri"/>
                <w:bCs/>
                <w:color w:val="000000" w:themeColor="text1"/>
                <w:sz w:val="20"/>
                <w:szCs w:val="20"/>
              </w:rPr>
            </w:pPr>
            <w:r w:rsidRPr="00B95AED">
              <w:rPr>
                <w:rFonts w:ascii="Calibri" w:hAnsi="Calibri" w:cs="Calibri"/>
                <w:bCs/>
                <w:color w:val="000000" w:themeColor="text1"/>
                <w:sz w:val="20"/>
                <w:szCs w:val="20"/>
              </w:rPr>
              <w:t>21</w:t>
            </w:r>
            <w:r w:rsidR="0075637E">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(10.9)</w:t>
            </w:r>
          </w:p>
        </w:tc>
        <w:tc>
          <w:tcPr>
            <w:tcW w:w="990" w:type="dxa"/>
          </w:tcPr>
          <w:p w14:paraId="369A4C04" w14:textId="64C8AC59" w:rsidR="00B95AED" w:rsidRPr="00B95AED" w:rsidRDefault="00B95AED" w:rsidP="0075637E">
            <w:pPr>
              <w:spacing w:line="320" w:lineRule="atLeast"/>
              <w:ind w:left="-22"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14 (7.3)</w:t>
            </w:r>
          </w:p>
        </w:tc>
        <w:tc>
          <w:tcPr>
            <w:tcW w:w="1080" w:type="dxa"/>
          </w:tcPr>
          <w:p w14:paraId="5862F7C3" w14:textId="77777777" w:rsidR="00B95AED" w:rsidRPr="00B95AED" w:rsidRDefault="00B95AED" w:rsidP="0075637E">
            <w:pPr>
              <w:spacing w:line="320" w:lineRule="atLeast"/>
              <w:ind w:right="-115" w:hanging="80"/>
              <w:rPr>
                <w:rFonts w:ascii="Calibri" w:hAnsi="Calibri" w:cs="Calibri"/>
                <w:bCs/>
                <w:color w:val="000000" w:themeColor="text1"/>
                <w:sz w:val="20"/>
                <w:szCs w:val="20"/>
              </w:rPr>
            </w:pPr>
            <w:r w:rsidRPr="00B95AED">
              <w:rPr>
                <w:rFonts w:ascii="Calibri" w:hAnsi="Calibri" w:cs="Calibri"/>
                <w:bCs/>
                <w:color w:val="000000" w:themeColor="text1"/>
                <w:sz w:val="20"/>
                <w:szCs w:val="20"/>
              </w:rPr>
              <w:t>192/ 100%</w:t>
            </w:r>
          </w:p>
        </w:tc>
        <w:tc>
          <w:tcPr>
            <w:tcW w:w="1080" w:type="dxa"/>
            <w:vMerge/>
          </w:tcPr>
          <w:p w14:paraId="67C7EA86"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c>
          <w:tcPr>
            <w:tcW w:w="900" w:type="dxa"/>
            <w:vMerge/>
          </w:tcPr>
          <w:p w14:paraId="7B7D0C17"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r>
      <w:tr w:rsidR="0075637E" w:rsidRPr="00B95AED" w14:paraId="7A97A1E1" w14:textId="77777777" w:rsidTr="0075637E">
        <w:trPr>
          <w:cantSplit/>
          <w:trHeight w:val="20"/>
        </w:trPr>
        <w:tc>
          <w:tcPr>
            <w:tcW w:w="720" w:type="dxa"/>
            <w:vMerge w:val="restart"/>
          </w:tcPr>
          <w:p w14:paraId="19F2CE37" w14:textId="1DECEA66" w:rsidR="00B95AED" w:rsidRPr="00B95AED" w:rsidRDefault="009F7AAF" w:rsidP="009F7AAF">
            <w:pPr>
              <w:spacing w:line="320" w:lineRule="atLeast"/>
              <w:ind w:left="-203" w:right="60"/>
              <w:jc w:val="center"/>
              <w:rPr>
                <w:rFonts w:ascii="Calibri" w:hAnsi="Calibri" w:cs="Calibri"/>
                <w:color w:val="000000" w:themeColor="text1"/>
                <w:sz w:val="20"/>
                <w:szCs w:val="20"/>
              </w:rPr>
            </w:pPr>
            <w:r>
              <w:rPr>
                <w:rFonts w:ascii="Calibri" w:hAnsi="Calibri" w:cs="Calibri"/>
                <w:color w:val="000000" w:themeColor="text1"/>
                <w:sz w:val="20"/>
                <w:szCs w:val="20"/>
              </w:rPr>
              <w:t xml:space="preserve">  </w:t>
            </w:r>
            <w:r w:rsidR="00B95AED" w:rsidRPr="00B95AED">
              <w:rPr>
                <w:rFonts w:ascii="Calibri" w:hAnsi="Calibri" w:cs="Calibri"/>
                <w:color w:val="000000" w:themeColor="text1"/>
                <w:sz w:val="20"/>
                <w:szCs w:val="20"/>
              </w:rPr>
              <w:t>R</w:t>
            </w:r>
            <w:r>
              <w:rPr>
                <w:rFonts w:ascii="Calibri" w:hAnsi="Calibri" w:cs="Calibri"/>
                <w:color w:val="000000" w:themeColor="text1"/>
                <w:sz w:val="20"/>
                <w:szCs w:val="20"/>
              </w:rPr>
              <w:t>i</w:t>
            </w:r>
            <w:r w:rsidR="00B95AED" w:rsidRPr="00B95AED">
              <w:rPr>
                <w:rFonts w:ascii="Calibri" w:hAnsi="Calibri" w:cs="Calibri"/>
                <w:color w:val="000000" w:themeColor="text1"/>
                <w:sz w:val="20"/>
                <w:szCs w:val="20"/>
              </w:rPr>
              <w:t>ght</w:t>
            </w:r>
          </w:p>
        </w:tc>
        <w:tc>
          <w:tcPr>
            <w:tcW w:w="900" w:type="dxa"/>
          </w:tcPr>
          <w:p w14:paraId="12DDE08F" w14:textId="77777777" w:rsidR="00B95AED" w:rsidRPr="00B95AED" w:rsidRDefault="00B95AED" w:rsidP="00A72B5A">
            <w:pPr>
              <w:spacing w:line="320" w:lineRule="atLeast"/>
              <w:ind w:left="60"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M</w:t>
            </w:r>
          </w:p>
        </w:tc>
        <w:tc>
          <w:tcPr>
            <w:tcW w:w="895" w:type="dxa"/>
          </w:tcPr>
          <w:p w14:paraId="64FC99DA"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23</w:t>
            </w:r>
          </w:p>
        </w:tc>
        <w:tc>
          <w:tcPr>
            <w:tcW w:w="990" w:type="dxa"/>
          </w:tcPr>
          <w:p w14:paraId="49A71A1C"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37</w:t>
            </w:r>
          </w:p>
        </w:tc>
        <w:tc>
          <w:tcPr>
            <w:tcW w:w="1170" w:type="dxa"/>
          </w:tcPr>
          <w:p w14:paraId="2AA17CD0"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37</w:t>
            </w:r>
          </w:p>
        </w:tc>
        <w:tc>
          <w:tcPr>
            <w:tcW w:w="900" w:type="dxa"/>
          </w:tcPr>
          <w:p w14:paraId="103E0CD6"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21</w:t>
            </w:r>
          </w:p>
        </w:tc>
        <w:tc>
          <w:tcPr>
            <w:tcW w:w="990" w:type="dxa"/>
          </w:tcPr>
          <w:p w14:paraId="377F15FB"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11</w:t>
            </w:r>
          </w:p>
        </w:tc>
        <w:tc>
          <w:tcPr>
            <w:tcW w:w="1080" w:type="dxa"/>
          </w:tcPr>
          <w:p w14:paraId="217B066B" w14:textId="77777777" w:rsidR="00B95AED" w:rsidRPr="00B95AED" w:rsidRDefault="00B95AED" w:rsidP="0075637E">
            <w:pPr>
              <w:spacing w:line="320" w:lineRule="atLeast"/>
              <w:ind w:right="-115" w:hanging="80"/>
              <w:rPr>
                <w:rFonts w:ascii="Calibri" w:hAnsi="Calibri" w:cs="Calibri"/>
                <w:bCs/>
                <w:color w:val="000000" w:themeColor="text1"/>
                <w:sz w:val="20"/>
                <w:szCs w:val="20"/>
              </w:rPr>
            </w:pPr>
            <w:r w:rsidRPr="00B95AED">
              <w:rPr>
                <w:rFonts w:ascii="Calibri" w:hAnsi="Calibri" w:cs="Calibri"/>
                <w:bCs/>
                <w:color w:val="000000" w:themeColor="text1"/>
                <w:sz w:val="20"/>
                <w:szCs w:val="20"/>
              </w:rPr>
              <w:t>129 (67.19)</w:t>
            </w:r>
          </w:p>
        </w:tc>
        <w:tc>
          <w:tcPr>
            <w:tcW w:w="1080" w:type="dxa"/>
            <w:vMerge w:val="restart"/>
          </w:tcPr>
          <w:p w14:paraId="0BAA4A4A" w14:textId="77777777" w:rsidR="00B526A2" w:rsidRDefault="00B95AED" w:rsidP="00B526A2">
            <w:pPr>
              <w:spacing w:line="320" w:lineRule="atLeast"/>
              <w:ind w:right="73"/>
              <w:rPr>
                <w:rFonts w:ascii="Calibri" w:hAnsi="Calibri" w:cs="Calibri"/>
                <w:bCs/>
                <w:color w:val="000000" w:themeColor="text1"/>
                <w:sz w:val="20"/>
                <w:szCs w:val="20"/>
              </w:rPr>
            </w:pPr>
            <w:r w:rsidRPr="00B95AED">
              <w:rPr>
                <w:rFonts w:ascii="Calibri" w:hAnsi="Calibri" w:cs="Calibri"/>
                <w:bCs/>
                <w:color w:val="000000" w:themeColor="text1"/>
                <w:sz w:val="20"/>
                <w:szCs w:val="20"/>
              </w:rPr>
              <w:t>Value: 2.110</w:t>
            </w:r>
          </w:p>
          <w:p w14:paraId="500DA347" w14:textId="46B0E768" w:rsidR="00B95AED" w:rsidRPr="00B95AED" w:rsidRDefault="00B95AED" w:rsidP="00B526A2">
            <w:pPr>
              <w:spacing w:line="320" w:lineRule="atLeast"/>
              <w:ind w:left="-15" w:right="73"/>
              <w:rPr>
                <w:rFonts w:ascii="Calibri" w:hAnsi="Calibri" w:cs="Calibri"/>
                <w:bCs/>
                <w:color w:val="000000" w:themeColor="text1"/>
                <w:sz w:val="20"/>
                <w:szCs w:val="20"/>
              </w:rPr>
            </w:pPr>
            <w:r w:rsidRPr="00B95AED">
              <w:rPr>
                <w:rFonts w:ascii="Calibri" w:hAnsi="Calibri" w:cs="Calibri"/>
                <w:bCs/>
                <w:color w:val="000000" w:themeColor="text1"/>
                <w:sz w:val="20"/>
                <w:szCs w:val="20"/>
              </w:rPr>
              <w:t>P-Value: 0.716</w:t>
            </w:r>
          </w:p>
        </w:tc>
        <w:tc>
          <w:tcPr>
            <w:tcW w:w="900" w:type="dxa"/>
            <w:vMerge w:val="restart"/>
          </w:tcPr>
          <w:p w14:paraId="363DC411"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r w:rsidRPr="00B95AED">
              <w:rPr>
                <w:rFonts w:ascii="Calibri" w:hAnsi="Calibri" w:cs="Calibri"/>
                <w:bCs/>
                <w:color w:val="000000" w:themeColor="text1"/>
                <w:sz w:val="20"/>
                <w:szCs w:val="20"/>
              </w:rPr>
              <w:t>Value: -.040</w:t>
            </w:r>
          </w:p>
        </w:tc>
      </w:tr>
      <w:tr w:rsidR="0075637E" w:rsidRPr="00B95AED" w14:paraId="67B688B7" w14:textId="77777777" w:rsidTr="0075637E">
        <w:trPr>
          <w:cantSplit/>
          <w:trHeight w:val="20"/>
        </w:trPr>
        <w:tc>
          <w:tcPr>
            <w:tcW w:w="720" w:type="dxa"/>
            <w:vMerge/>
            <w:textDirection w:val="btLr"/>
          </w:tcPr>
          <w:p w14:paraId="262A2F8C" w14:textId="77777777" w:rsidR="00B95AED" w:rsidRPr="00B95AED" w:rsidRDefault="00B95AED" w:rsidP="009F7AAF">
            <w:pPr>
              <w:spacing w:line="320" w:lineRule="atLeast"/>
              <w:ind w:left="-203" w:right="60"/>
              <w:jc w:val="center"/>
              <w:rPr>
                <w:rFonts w:ascii="Calibri" w:hAnsi="Calibri" w:cs="Calibri"/>
                <w:color w:val="000000" w:themeColor="text1"/>
                <w:sz w:val="20"/>
                <w:szCs w:val="20"/>
              </w:rPr>
            </w:pPr>
          </w:p>
        </w:tc>
        <w:tc>
          <w:tcPr>
            <w:tcW w:w="900" w:type="dxa"/>
          </w:tcPr>
          <w:p w14:paraId="3B6EDC9C" w14:textId="77777777" w:rsidR="00B95AED" w:rsidRPr="00B95AED" w:rsidRDefault="00B95AED" w:rsidP="00A72B5A">
            <w:pPr>
              <w:spacing w:line="320" w:lineRule="atLeast"/>
              <w:ind w:left="60"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F</w:t>
            </w:r>
          </w:p>
        </w:tc>
        <w:tc>
          <w:tcPr>
            <w:tcW w:w="895" w:type="dxa"/>
          </w:tcPr>
          <w:p w14:paraId="271222D7"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15</w:t>
            </w:r>
          </w:p>
        </w:tc>
        <w:tc>
          <w:tcPr>
            <w:tcW w:w="990" w:type="dxa"/>
          </w:tcPr>
          <w:p w14:paraId="7DCF6798"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14</w:t>
            </w:r>
          </w:p>
        </w:tc>
        <w:tc>
          <w:tcPr>
            <w:tcW w:w="1170" w:type="dxa"/>
          </w:tcPr>
          <w:p w14:paraId="18C63C17"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21</w:t>
            </w:r>
          </w:p>
        </w:tc>
        <w:tc>
          <w:tcPr>
            <w:tcW w:w="900" w:type="dxa"/>
          </w:tcPr>
          <w:p w14:paraId="07FBFA3A"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8</w:t>
            </w:r>
          </w:p>
        </w:tc>
        <w:tc>
          <w:tcPr>
            <w:tcW w:w="990" w:type="dxa"/>
          </w:tcPr>
          <w:p w14:paraId="68BB3B90"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5</w:t>
            </w:r>
          </w:p>
        </w:tc>
        <w:tc>
          <w:tcPr>
            <w:tcW w:w="1080" w:type="dxa"/>
          </w:tcPr>
          <w:p w14:paraId="71E901DD" w14:textId="77777777" w:rsidR="00B95AED" w:rsidRPr="00B95AED" w:rsidRDefault="00B95AED" w:rsidP="0075637E">
            <w:pPr>
              <w:spacing w:line="320" w:lineRule="atLeast"/>
              <w:ind w:right="-115" w:hanging="80"/>
              <w:rPr>
                <w:rFonts w:ascii="Calibri" w:hAnsi="Calibri" w:cs="Calibri"/>
                <w:bCs/>
                <w:color w:val="000000" w:themeColor="text1"/>
                <w:sz w:val="20"/>
                <w:szCs w:val="20"/>
              </w:rPr>
            </w:pPr>
            <w:r w:rsidRPr="00B95AED">
              <w:rPr>
                <w:rFonts w:ascii="Calibri" w:hAnsi="Calibri" w:cs="Calibri"/>
                <w:bCs/>
                <w:color w:val="000000" w:themeColor="text1"/>
                <w:sz w:val="20"/>
                <w:szCs w:val="20"/>
              </w:rPr>
              <w:t>63 (32.81)</w:t>
            </w:r>
          </w:p>
        </w:tc>
        <w:tc>
          <w:tcPr>
            <w:tcW w:w="1080" w:type="dxa"/>
            <w:vMerge/>
          </w:tcPr>
          <w:p w14:paraId="12F97379"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c>
          <w:tcPr>
            <w:tcW w:w="900" w:type="dxa"/>
            <w:vMerge/>
          </w:tcPr>
          <w:p w14:paraId="06CFA9EC"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r>
      <w:tr w:rsidR="0075637E" w:rsidRPr="00B95AED" w14:paraId="6BEF44E5" w14:textId="77777777" w:rsidTr="00B526A2">
        <w:trPr>
          <w:cantSplit/>
          <w:trHeight w:val="449"/>
        </w:trPr>
        <w:tc>
          <w:tcPr>
            <w:tcW w:w="720" w:type="dxa"/>
            <w:vMerge/>
            <w:textDirection w:val="btLr"/>
          </w:tcPr>
          <w:p w14:paraId="60A7C758" w14:textId="77777777" w:rsidR="00B95AED" w:rsidRPr="00B95AED" w:rsidRDefault="00B95AED" w:rsidP="009F7AAF">
            <w:pPr>
              <w:spacing w:line="320" w:lineRule="atLeast"/>
              <w:ind w:left="-203" w:right="60"/>
              <w:jc w:val="center"/>
              <w:rPr>
                <w:rFonts w:ascii="Calibri" w:hAnsi="Calibri" w:cs="Calibri"/>
                <w:color w:val="000000" w:themeColor="text1"/>
                <w:sz w:val="20"/>
                <w:szCs w:val="20"/>
              </w:rPr>
            </w:pPr>
          </w:p>
        </w:tc>
        <w:tc>
          <w:tcPr>
            <w:tcW w:w="900" w:type="dxa"/>
          </w:tcPr>
          <w:p w14:paraId="0E3B1CBE" w14:textId="60643D8E" w:rsidR="00B95AED" w:rsidRPr="00B95AED" w:rsidRDefault="00B95AED" w:rsidP="00B91378">
            <w:pPr>
              <w:spacing w:line="320" w:lineRule="atLeast"/>
              <w:ind w:left="-116" w:right="-103"/>
              <w:rPr>
                <w:rFonts w:ascii="Calibri" w:hAnsi="Calibri" w:cs="Calibri"/>
                <w:bCs/>
                <w:color w:val="000000" w:themeColor="text1"/>
                <w:sz w:val="20"/>
                <w:szCs w:val="20"/>
              </w:rPr>
            </w:pPr>
            <w:r w:rsidRPr="00B95AED">
              <w:rPr>
                <w:rFonts w:ascii="Calibri" w:hAnsi="Calibri" w:cs="Calibri"/>
                <w:bCs/>
                <w:color w:val="000000" w:themeColor="text1"/>
                <w:sz w:val="20"/>
                <w:szCs w:val="20"/>
              </w:rPr>
              <w:t>Total</w:t>
            </w:r>
            <w:r w:rsidR="00B91378">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N (%)</w:t>
            </w:r>
          </w:p>
        </w:tc>
        <w:tc>
          <w:tcPr>
            <w:tcW w:w="895" w:type="dxa"/>
          </w:tcPr>
          <w:p w14:paraId="49759AE3" w14:textId="76D8BE99" w:rsidR="00B95AED" w:rsidRPr="00B95AED" w:rsidRDefault="0075637E" w:rsidP="0075637E">
            <w:pPr>
              <w:tabs>
                <w:tab w:val="left" w:pos="437"/>
              </w:tabs>
              <w:spacing w:line="320" w:lineRule="atLeast"/>
              <w:ind w:left="-103" w:right="-108"/>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38</w:t>
            </w: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(19.8)</w:t>
            </w:r>
          </w:p>
        </w:tc>
        <w:tc>
          <w:tcPr>
            <w:tcW w:w="990" w:type="dxa"/>
          </w:tcPr>
          <w:p w14:paraId="578261D7" w14:textId="69EDEEC4" w:rsidR="00B95AED" w:rsidRPr="00B95AED" w:rsidRDefault="00B95AED" w:rsidP="0075637E">
            <w:pPr>
              <w:spacing w:line="320" w:lineRule="atLeast"/>
              <w:ind w:left="-18" w:right="60"/>
              <w:rPr>
                <w:rFonts w:ascii="Calibri" w:hAnsi="Calibri" w:cs="Calibri"/>
                <w:bCs/>
                <w:color w:val="000000" w:themeColor="text1"/>
                <w:sz w:val="20"/>
                <w:szCs w:val="20"/>
              </w:rPr>
            </w:pPr>
            <w:r w:rsidRPr="00B95AED">
              <w:rPr>
                <w:rFonts w:ascii="Calibri" w:hAnsi="Calibri" w:cs="Calibri"/>
                <w:bCs/>
                <w:color w:val="000000" w:themeColor="text1"/>
                <w:sz w:val="20"/>
                <w:szCs w:val="20"/>
              </w:rPr>
              <w:t>51</w:t>
            </w:r>
            <w:r w:rsidR="0075637E">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(26.6)</w:t>
            </w:r>
          </w:p>
        </w:tc>
        <w:tc>
          <w:tcPr>
            <w:tcW w:w="1170" w:type="dxa"/>
          </w:tcPr>
          <w:p w14:paraId="044A6679" w14:textId="5F8EFDBB" w:rsidR="00B95AED" w:rsidRPr="00B95AED" w:rsidRDefault="00B95AED" w:rsidP="0075637E">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58</w:t>
            </w:r>
            <w:r w:rsidR="0075637E">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(30.2)</w:t>
            </w:r>
          </w:p>
        </w:tc>
        <w:tc>
          <w:tcPr>
            <w:tcW w:w="900" w:type="dxa"/>
          </w:tcPr>
          <w:p w14:paraId="3549E981" w14:textId="77777777" w:rsidR="00B95AED" w:rsidRPr="00B95AED" w:rsidRDefault="00B95AED" w:rsidP="00A72B5A">
            <w:pPr>
              <w:spacing w:line="320" w:lineRule="atLeast"/>
              <w:ind w:left="-11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29 (15.1)</w:t>
            </w:r>
          </w:p>
        </w:tc>
        <w:tc>
          <w:tcPr>
            <w:tcW w:w="990" w:type="dxa"/>
          </w:tcPr>
          <w:p w14:paraId="78D9932B" w14:textId="534840E0" w:rsidR="00B95AED" w:rsidRPr="00B95AED" w:rsidRDefault="00B95AED" w:rsidP="0075637E">
            <w:pPr>
              <w:spacing w:line="320" w:lineRule="atLeast"/>
              <w:ind w:left="-22"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16</w:t>
            </w:r>
            <w:r w:rsidR="0075637E">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(8.33)</w:t>
            </w:r>
          </w:p>
        </w:tc>
        <w:tc>
          <w:tcPr>
            <w:tcW w:w="1080" w:type="dxa"/>
          </w:tcPr>
          <w:p w14:paraId="4DEFC557" w14:textId="77777777" w:rsidR="00B95AED" w:rsidRPr="00B95AED" w:rsidRDefault="00B95AED" w:rsidP="0075637E">
            <w:pPr>
              <w:spacing w:line="320" w:lineRule="atLeast"/>
              <w:ind w:right="-115" w:hanging="80"/>
              <w:rPr>
                <w:rFonts w:ascii="Calibri" w:hAnsi="Calibri" w:cs="Calibri"/>
                <w:bCs/>
                <w:color w:val="000000" w:themeColor="text1"/>
                <w:sz w:val="20"/>
                <w:szCs w:val="20"/>
              </w:rPr>
            </w:pPr>
            <w:r w:rsidRPr="00B95AED">
              <w:rPr>
                <w:rFonts w:ascii="Calibri" w:hAnsi="Calibri" w:cs="Calibri"/>
                <w:bCs/>
                <w:color w:val="000000" w:themeColor="text1"/>
                <w:sz w:val="20"/>
                <w:szCs w:val="20"/>
              </w:rPr>
              <w:t>192 (100)</w:t>
            </w:r>
          </w:p>
        </w:tc>
        <w:tc>
          <w:tcPr>
            <w:tcW w:w="1080" w:type="dxa"/>
            <w:vMerge/>
          </w:tcPr>
          <w:p w14:paraId="02728A07"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c>
          <w:tcPr>
            <w:tcW w:w="900" w:type="dxa"/>
            <w:vMerge/>
          </w:tcPr>
          <w:p w14:paraId="7F25E5D6"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r>
      <w:tr w:rsidR="0075637E" w:rsidRPr="00B95AED" w14:paraId="626460A1" w14:textId="77777777" w:rsidTr="0075637E">
        <w:trPr>
          <w:cantSplit/>
          <w:trHeight w:val="20"/>
        </w:trPr>
        <w:tc>
          <w:tcPr>
            <w:tcW w:w="720" w:type="dxa"/>
            <w:vMerge w:val="restart"/>
          </w:tcPr>
          <w:p w14:paraId="5532E33A" w14:textId="77777777" w:rsidR="00B95AED" w:rsidRPr="00B95AED" w:rsidRDefault="00B95AED" w:rsidP="009F7AAF">
            <w:pPr>
              <w:spacing w:line="320" w:lineRule="atLeast"/>
              <w:ind w:left="-203" w:right="60"/>
              <w:jc w:val="center"/>
              <w:rPr>
                <w:rFonts w:ascii="Calibri" w:hAnsi="Calibri" w:cs="Calibri"/>
                <w:color w:val="000000" w:themeColor="text1"/>
                <w:sz w:val="20"/>
                <w:szCs w:val="20"/>
              </w:rPr>
            </w:pPr>
            <w:r w:rsidRPr="00B95AED">
              <w:rPr>
                <w:rFonts w:ascii="Calibri" w:hAnsi="Calibri" w:cs="Calibri"/>
                <w:color w:val="000000" w:themeColor="text1"/>
                <w:sz w:val="20"/>
                <w:szCs w:val="20"/>
              </w:rPr>
              <w:t>Left</w:t>
            </w:r>
          </w:p>
          <w:p w14:paraId="1C44006A" w14:textId="77777777" w:rsidR="00B95AED" w:rsidRPr="00B95AED" w:rsidRDefault="00B95AED" w:rsidP="009F7AAF">
            <w:pPr>
              <w:spacing w:line="320" w:lineRule="atLeast"/>
              <w:ind w:left="-203" w:right="60"/>
              <w:jc w:val="center"/>
              <w:rPr>
                <w:rFonts w:ascii="Calibri" w:hAnsi="Calibri" w:cs="Calibri"/>
                <w:color w:val="000000" w:themeColor="text1"/>
                <w:sz w:val="20"/>
                <w:szCs w:val="20"/>
              </w:rPr>
            </w:pPr>
          </w:p>
        </w:tc>
        <w:tc>
          <w:tcPr>
            <w:tcW w:w="900" w:type="dxa"/>
          </w:tcPr>
          <w:p w14:paraId="77D09BE6" w14:textId="77777777" w:rsidR="00B95AED" w:rsidRPr="00B95AED" w:rsidRDefault="00B95AED" w:rsidP="00A72B5A">
            <w:pPr>
              <w:spacing w:line="320" w:lineRule="atLeast"/>
              <w:ind w:left="60"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M</w:t>
            </w:r>
          </w:p>
        </w:tc>
        <w:tc>
          <w:tcPr>
            <w:tcW w:w="895" w:type="dxa"/>
          </w:tcPr>
          <w:p w14:paraId="18F9CC01"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23</w:t>
            </w:r>
          </w:p>
        </w:tc>
        <w:tc>
          <w:tcPr>
            <w:tcW w:w="990" w:type="dxa"/>
          </w:tcPr>
          <w:p w14:paraId="4214092C"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39</w:t>
            </w:r>
          </w:p>
        </w:tc>
        <w:tc>
          <w:tcPr>
            <w:tcW w:w="1170" w:type="dxa"/>
          </w:tcPr>
          <w:p w14:paraId="15B0A96A"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42</w:t>
            </w:r>
          </w:p>
        </w:tc>
        <w:tc>
          <w:tcPr>
            <w:tcW w:w="900" w:type="dxa"/>
          </w:tcPr>
          <w:p w14:paraId="35600579"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15</w:t>
            </w:r>
          </w:p>
        </w:tc>
        <w:tc>
          <w:tcPr>
            <w:tcW w:w="990" w:type="dxa"/>
          </w:tcPr>
          <w:p w14:paraId="3FBED51D"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10</w:t>
            </w:r>
          </w:p>
        </w:tc>
        <w:tc>
          <w:tcPr>
            <w:tcW w:w="1080" w:type="dxa"/>
          </w:tcPr>
          <w:p w14:paraId="1702916E" w14:textId="77777777" w:rsidR="00B95AED" w:rsidRPr="00B95AED" w:rsidRDefault="00B95AED" w:rsidP="0075637E">
            <w:pPr>
              <w:spacing w:line="320" w:lineRule="atLeast"/>
              <w:ind w:right="-115" w:hanging="80"/>
              <w:rPr>
                <w:rFonts w:ascii="Calibri" w:hAnsi="Calibri" w:cs="Calibri"/>
                <w:bCs/>
                <w:color w:val="000000" w:themeColor="text1"/>
                <w:sz w:val="20"/>
                <w:szCs w:val="20"/>
              </w:rPr>
            </w:pPr>
            <w:r w:rsidRPr="00B95AED">
              <w:rPr>
                <w:rFonts w:ascii="Calibri" w:hAnsi="Calibri" w:cs="Calibri"/>
                <w:bCs/>
                <w:color w:val="000000" w:themeColor="text1"/>
                <w:sz w:val="20"/>
                <w:szCs w:val="20"/>
              </w:rPr>
              <w:t>129 (67.19)</w:t>
            </w:r>
          </w:p>
        </w:tc>
        <w:tc>
          <w:tcPr>
            <w:tcW w:w="1080" w:type="dxa"/>
            <w:vMerge w:val="restart"/>
          </w:tcPr>
          <w:p w14:paraId="5891DEE8" w14:textId="77777777" w:rsidR="00B95AED" w:rsidRPr="00B95AED" w:rsidRDefault="00B95AED" w:rsidP="009F7AAF">
            <w:pPr>
              <w:spacing w:line="320" w:lineRule="atLeast"/>
              <w:ind w:right="60"/>
              <w:jc w:val="center"/>
              <w:rPr>
                <w:rFonts w:ascii="Calibri" w:hAnsi="Calibri" w:cs="Calibri"/>
                <w:bCs/>
                <w:color w:val="000000" w:themeColor="text1"/>
                <w:sz w:val="20"/>
                <w:szCs w:val="20"/>
              </w:rPr>
            </w:pPr>
            <w:r w:rsidRPr="00B95AED">
              <w:rPr>
                <w:rFonts w:ascii="Calibri" w:hAnsi="Calibri" w:cs="Calibri"/>
                <w:bCs/>
                <w:color w:val="000000" w:themeColor="text1"/>
                <w:sz w:val="20"/>
                <w:szCs w:val="20"/>
              </w:rPr>
              <w:t>Value: 3.623</w:t>
            </w:r>
          </w:p>
          <w:p w14:paraId="6F216217"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r w:rsidRPr="00B95AED">
              <w:rPr>
                <w:rFonts w:ascii="Calibri" w:hAnsi="Calibri" w:cs="Calibri"/>
                <w:bCs/>
                <w:color w:val="000000" w:themeColor="text1"/>
                <w:sz w:val="20"/>
                <w:szCs w:val="20"/>
              </w:rPr>
              <w:t>P-Value: 0.459</w:t>
            </w:r>
          </w:p>
        </w:tc>
        <w:tc>
          <w:tcPr>
            <w:tcW w:w="900" w:type="dxa"/>
            <w:vMerge w:val="restart"/>
          </w:tcPr>
          <w:p w14:paraId="6EBCF733"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r w:rsidRPr="00B95AED">
              <w:rPr>
                <w:rFonts w:ascii="Calibri" w:hAnsi="Calibri" w:cs="Calibri"/>
                <w:bCs/>
                <w:color w:val="000000" w:themeColor="text1"/>
                <w:sz w:val="20"/>
                <w:szCs w:val="20"/>
              </w:rPr>
              <w:t>Value: -.056</w:t>
            </w:r>
          </w:p>
        </w:tc>
      </w:tr>
      <w:tr w:rsidR="0075637E" w:rsidRPr="00B95AED" w14:paraId="3EDC7045" w14:textId="77777777" w:rsidTr="0075637E">
        <w:trPr>
          <w:cantSplit/>
          <w:trHeight w:val="20"/>
        </w:trPr>
        <w:tc>
          <w:tcPr>
            <w:tcW w:w="720" w:type="dxa"/>
            <w:vMerge/>
          </w:tcPr>
          <w:p w14:paraId="3FDBD921" w14:textId="77777777" w:rsidR="00B95AED" w:rsidRPr="00B95AED" w:rsidRDefault="00B95AED" w:rsidP="008D17B8">
            <w:pPr>
              <w:spacing w:line="320" w:lineRule="atLeast"/>
              <w:ind w:right="60"/>
              <w:rPr>
                <w:rFonts w:ascii="Calibri" w:hAnsi="Calibri" w:cs="Calibri"/>
                <w:bCs/>
                <w:color w:val="000000" w:themeColor="text1"/>
                <w:sz w:val="20"/>
                <w:szCs w:val="20"/>
              </w:rPr>
            </w:pPr>
          </w:p>
        </w:tc>
        <w:tc>
          <w:tcPr>
            <w:tcW w:w="900" w:type="dxa"/>
          </w:tcPr>
          <w:p w14:paraId="70259C41" w14:textId="77777777" w:rsidR="00B95AED" w:rsidRPr="00B95AED" w:rsidRDefault="00B95AED" w:rsidP="00A72B5A">
            <w:pPr>
              <w:spacing w:line="320" w:lineRule="atLeast"/>
              <w:ind w:left="60" w:right="-103" w:hanging="11"/>
              <w:rPr>
                <w:rFonts w:ascii="Calibri" w:hAnsi="Calibri" w:cs="Calibri"/>
                <w:bCs/>
                <w:color w:val="000000" w:themeColor="text1"/>
                <w:sz w:val="20"/>
                <w:szCs w:val="20"/>
              </w:rPr>
            </w:pPr>
            <w:r w:rsidRPr="00B95AED">
              <w:rPr>
                <w:rFonts w:ascii="Calibri" w:hAnsi="Calibri" w:cs="Calibri"/>
                <w:bCs/>
                <w:color w:val="000000" w:themeColor="text1"/>
                <w:sz w:val="20"/>
                <w:szCs w:val="20"/>
              </w:rPr>
              <w:t>F</w:t>
            </w:r>
          </w:p>
        </w:tc>
        <w:tc>
          <w:tcPr>
            <w:tcW w:w="895" w:type="dxa"/>
          </w:tcPr>
          <w:p w14:paraId="6DE85E93"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17</w:t>
            </w:r>
          </w:p>
        </w:tc>
        <w:tc>
          <w:tcPr>
            <w:tcW w:w="990" w:type="dxa"/>
          </w:tcPr>
          <w:p w14:paraId="06811C13"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13</w:t>
            </w:r>
          </w:p>
        </w:tc>
        <w:tc>
          <w:tcPr>
            <w:tcW w:w="1170" w:type="dxa"/>
          </w:tcPr>
          <w:p w14:paraId="221EC352"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23</w:t>
            </w:r>
          </w:p>
        </w:tc>
        <w:tc>
          <w:tcPr>
            <w:tcW w:w="900" w:type="dxa"/>
          </w:tcPr>
          <w:p w14:paraId="1137E008"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6</w:t>
            </w:r>
          </w:p>
        </w:tc>
        <w:tc>
          <w:tcPr>
            <w:tcW w:w="990" w:type="dxa"/>
          </w:tcPr>
          <w:p w14:paraId="279A5213" w14:textId="77777777" w:rsidR="00B95AED" w:rsidRPr="00B95AED" w:rsidRDefault="00B95AED" w:rsidP="008D17B8">
            <w:pPr>
              <w:spacing w:line="320" w:lineRule="atLeast"/>
              <w:ind w:left="60" w:right="60"/>
              <w:rPr>
                <w:rFonts w:ascii="Calibri" w:hAnsi="Calibri" w:cs="Calibri"/>
                <w:bCs/>
                <w:color w:val="000000" w:themeColor="text1"/>
                <w:sz w:val="20"/>
                <w:szCs w:val="20"/>
              </w:rPr>
            </w:pPr>
            <w:r w:rsidRPr="00B95AED">
              <w:rPr>
                <w:rFonts w:ascii="Calibri" w:hAnsi="Calibri" w:cs="Calibri"/>
                <w:bCs/>
                <w:color w:val="000000" w:themeColor="text1"/>
                <w:sz w:val="20"/>
                <w:szCs w:val="20"/>
              </w:rPr>
              <w:t>4</w:t>
            </w:r>
          </w:p>
        </w:tc>
        <w:tc>
          <w:tcPr>
            <w:tcW w:w="1080" w:type="dxa"/>
          </w:tcPr>
          <w:p w14:paraId="664B5B19" w14:textId="77777777" w:rsidR="00B95AED" w:rsidRPr="00B95AED" w:rsidRDefault="00B95AED" w:rsidP="0075637E">
            <w:pPr>
              <w:spacing w:line="320" w:lineRule="atLeast"/>
              <w:ind w:right="-115" w:hanging="80"/>
              <w:rPr>
                <w:rFonts w:ascii="Calibri" w:hAnsi="Calibri" w:cs="Calibri"/>
                <w:bCs/>
                <w:color w:val="000000" w:themeColor="text1"/>
                <w:sz w:val="20"/>
                <w:szCs w:val="20"/>
              </w:rPr>
            </w:pPr>
            <w:r w:rsidRPr="00B95AED">
              <w:rPr>
                <w:rFonts w:ascii="Calibri" w:hAnsi="Calibri" w:cs="Calibri"/>
                <w:bCs/>
                <w:color w:val="000000" w:themeColor="text1"/>
                <w:sz w:val="20"/>
                <w:szCs w:val="20"/>
              </w:rPr>
              <w:t>63 (32.81)</w:t>
            </w:r>
          </w:p>
        </w:tc>
        <w:tc>
          <w:tcPr>
            <w:tcW w:w="1080" w:type="dxa"/>
            <w:vMerge/>
            <w:textDirection w:val="btLr"/>
          </w:tcPr>
          <w:p w14:paraId="73F2B0C2"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c>
          <w:tcPr>
            <w:tcW w:w="900" w:type="dxa"/>
            <w:vMerge/>
            <w:textDirection w:val="btLr"/>
          </w:tcPr>
          <w:p w14:paraId="40740B25"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r>
      <w:tr w:rsidR="0075637E" w:rsidRPr="00B95AED" w14:paraId="337ABDFF" w14:textId="77777777" w:rsidTr="00B526A2">
        <w:trPr>
          <w:cantSplit/>
          <w:trHeight w:val="422"/>
        </w:trPr>
        <w:tc>
          <w:tcPr>
            <w:tcW w:w="720" w:type="dxa"/>
            <w:vMerge/>
          </w:tcPr>
          <w:p w14:paraId="29CBDB23" w14:textId="77777777" w:rsidR="00B95AED" w:rsidRPr="00B95AED" w:rsidRDefault="00B95AED" w:rsidP="008D17B8">
            <w:pPr>
              <w:spacing w:line="320" w:lineRule="atLeast"/>
              <w:ind w:right="60"/>
              <w:rPr>
                <w:rFonts w:ascii="Calibri" w:hAnsi="Calibri" w:cs="Calibri"/>
                <w:bCs/>
                <w:color w:val="000000" w:themeColor="text1"/>
                <w:sz w:val="20"/>
                <w:szCs w:val="20"/>
              </w:rPr>
            </w:pPr>
          </w:p>
        </w:tc>
        <w:tc>
          <w:tcPr>
            <w:tcW w:w="900" w:type="dxa"/>
          </w:tcPr>
          <w:p w14:paraId="55DD9173" w14:textId="3E9CD62A" w:rsidR="00B95AED" w:rsidRPr="00B95AED" w:rsidRDefault="00B95AED" w:rsidP="00B91378">
            <w:pPr>
              <w:spacing w:line="320" w:lineRule="atLeast"/>
              <w:ind w:left="-116" w:right="-103"/>
              <w:rPr>
                <w:rFonts w:ascii="Calibri" w:hAnsi="Calibri" w:cs="Calibri"/>
                <w:bCs/>
                <w:color w:val="000000" w:themeColor="text1"/>
                <w:sz w:val="20"/>
                <w:szCs w:val="20"/>
              </w:rPr>
            </w:pPr>
            <w:r w:rsidRPr="00B95AED">
              <w:rPr>
                <w:rFonts w:ascii="Calibri" w:hAnsi="Calibri" w:cs="Calibri"/>
                <w:bCs/>
                <w:color w:val="000000" w:themeColor="text1"/>
                <w:sz w:val="20"/>
                <w:szCs w:val="20"/>
              </w:rPr>
              <w:t>Total</w:t>
            </w:r>
            <w:r w:rsidR="00B91378">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N (%)</w:t>
            </w:r>
          </w:p>
        </w:tc>
        <w:tc>
          <w:tcPr>
            <w:tcW w:w="895" w:type="dxa"/>
          </w:tcPr>
          <w:p w14:paraId="19E37CB2" w14:textId="126DA43C" w:rsidR="00B95AED" w:rsidRPr="00B95AED" w:rsidRDefault="0075637E" w:rsidP="0075637E">
            <w:pPr>
              <w:spacing w:line="320" w:lineRule="atLeast"/>
              <w:ind w:left="-103" w:right="-108"/>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40</w:t>
            </w: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(20.8)</w:t>
            </w:r>
          </w:p>
        </w:tc>
        <w:tc>
          <w:tcPr>
            <w:tcW w:w="990" w:type="dxa"/>
          </w:tcPr>
          <w:p w14:paraId="1AC2B303" w14:textId="2B846D9B" w:rsidR="00B95AED" w:rsidRPr="00B95AED" w:rsidRDefault="0075637E" w:rsidP="0075637E">
            <w:pPr>
              <w:tabs>
                <w:tab w:val="left" w:pos="702"/>
              </w:tabs>
              <w:spacing w:line="320" w:lineRule="atLeast"/>
              <w:ind w:left="-108" w:right="60"/>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52</w:t>
            </w: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(27.1)</w:t>
            </w:r>
          </w:p>
        </w:tc>
        <w:tc>
          <w:tcPr>
            <w:tcW w:w="1170" w:type="dxa"/>
          </w:tcPr>
          <w:p w14:paraId="31BDD7E6" w14:textId="0996E878" w:rsidR="00B95AED" w:rsidRPr="00B95AED" w:rsidRDefault="0075637E" w:rsidP="0075637E">
            <w:pPr>
              <w:tabs>
                <w:tab w:val="left" w:pos="884"/>
              </w:tabs>
              <w:spacing w:line="320" w:lineRule="atLeast"/>
              <w:ind w:left="-106" w:right="60"/>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65</w:t>
            </w: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(33.8)</w:t>
            </w:r>
          </w:p>
        </w:tc>
        <w:tc>
          <w:tcPr>
            <w:tcW w:w="900" w:type="dxa"/>
          </w:tcPr>
          <w:p w14:paraId="1F0CFC86" w14:textId="7703EFD9" w:rsidR="00B95AED" w:rsidRPr="00B95AED" w:rsidRDefault="0075637E" w:rsidP="0075637E">
            <w:pPr>
              <w:spacing w:line="320" w:lineRule="atLeast"/>
              <w:ind w:left="-108" w:right="60" w:hanging="9"/>
              <w:rPr>
                <w:rFonts w:ascii="Calibri" w:hAnsi="Calibri" w:cs="Calibri"/>
                <w:bCs/>
                <w:color w:val="000000" w:themeColor="text1"/>
                <w:sz w:val="20"/>
                <w:szCs w:val="20"/>
              </w:rPr>
            </w:pPr>
            <w:r>
              <w:rPr>
                <w:rFonts w:ascii="Calibri" w:hAnsi="Calibri" w:cs="Calibri"/>
                <w:bCs/>
                <w:color w:val="000000" w:themeColor="text1"/>
                <w:sz w:val="20"/>
                <w:szCs w:val="20"/>
              </w:rPr>
              <w:t xml:space="preserve"> </w:t>
            </w:r>
            <w:r w:rsidR="00B95AED" w:rsidRPr="00B95AED">
              <w:rPr>
                <w:rFonts w:ascii="Calibri" w:hAnsi="Calibri" w:cs="Calibri"/>
                <w:bCs/>
                <w:color w:val="000000" w:themeColor="text1"/>
                <w:sz w:val="20"/>
                <w:szCs w:val="20"/>
              </w:rPr>
              <w:t>21(10.9)</w:t>
            </w:r>
          </w:p>
        </w:tc>
        <w:tc>
          <w:tcPr>
            <w:tcW w:w="990" w:type="dxa"/>
          </w:tcPr>
          <w:p w14:paraId="4F67CE83" w14:textId="6748C5BC" w:rsidR="00B95AED" w:rsidRPr="00B95AED" w:rsidRDefault="00B95AED" w:rsidP="0075637E">
            <w:pPr>
              <w:tabs>
                <w:tab w:val="left" w:pos="520"/>
              </w:tabs>
              <w:spacing w:line="320" w:lineRule="atLeast"/>
              <w:ind w:left="-112" w:right="60"/>
              <w:rPr>
                <w:rFonts w:ascii="Calibri" w:hAnsi="Calibri" w:cs="Calibri"/>
                <w:bCs/>
                <w:color w:val="000000" w:themeColor="text1"/>
                <w:sz w:val="20"/>
                <w:szCs w:val="20"/>
              </w:rPr>
            </w:pPr>
            <w:r w:rsidRPr="00B95AED">
              <w:rPr>
                <w:rFonts w:ascii="Calibri" w:hAnsi="Calibri" w:cs="Calibri"/>
                <w:bCs/>
                <w:color w:val="000000" w:themeColor="text1"/>
                <w:sz w:val="20"/>
                <w:szCs w:val="20"/>
              </w:rPr>
              <w:t>14</w:t>
            </w:r>
            <w:r w:rsidR="0075637E">
              <w:rPr>
                <w:rFonts w:ascii="Calibri" w:hAnsi="Calibri" w:cs="Calibri"/>
                <w:bCs/>
                <w:color w:val="000000" w:themeColor="text1"/>
                <w:sz w:val="20"/>
                <w:szCs w:val="20"/>
              </w:rPr>
              <w:t xml:space="preserve"> </w:t>
            </w:r>
            <w:r w:rsidRPr="00B95AED">
              <w:rPr>
                <w:rFonts w:ascii="Calibri" w:hAnsi="Calibri" w:cs="Calibri"/>
                <w:bCs/>
                <w:color w:val="000000" w:themeColor="text1"/>
                <w:sz w:val="20"/>
                <w:szCs w:val="20"/>
              </w:rPr>
              <w:t>(7.29)</w:t>
            </w:r>
          </w:p>
        </w:tc>
        <w:tc>
          <w:tcPr>
            <w:tcW w:w="1080" w:type="dxa"/>
          </w:tcPr>
          <w:p w14:paraId="5C6A5B78" w14:textId="77777777" w:rsidR="00B95AED" w:rsidRPr="00B95AED" w:rsidRDefault="00B95AED" w:rsidP="0075637E">
            <w:pPr>
              <w:spacing w:line="320" w:lineRule="atLeast"/>
              <w:ind w:right="-115" w:hanging="80"/>
              <w:rPr>
                <w:rFonts w:ascii="Calibri" w:hAnsi="Calibri" w:cs="Calibri"/>
                <w:bCs/>
                <w:color w:val="000000" w:themeColor="text1"/>
                <w:sz w:val="20"/>
                <w:szCs w:val="20"/>
              </w:rPr>
            </w:pPr>
            <w:r w:rsidRPr="00B95AED">
              <w:rPr>
                <w:rFonts w:ascii="Calibri" w:hAnsi="Calibri" w:cs="Calibri"/>
                <w:bCs/>
                <w:color w:val="000000" w:themeColor="text1"/>
                <w:sz w:val="20"/>
                <w:szCs w:val="20"/>
              </w:rPr>
              <w:t>192 (100)</w:t>
            </w:r>
          </w:p>
        </w:tc>
        <w:tc>
          <w:tcPr>
            <w:tcW w:w="1080" w:type="dxa"/>
            <w:vMerge/>
            <w:textDirection w:val="btLr"/>
          </w:tcPr>
          <w:p w14:paraId="7743E94D"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c>
          <w:tcPr>
            <w:tcW w:w="900" w:type="dxa"/>
            <w:vMerge/>
            <w:textDirection w:val="btLr"/>
          </w:tcPr>
          <w:p w14:paraId="035A1F98" w14:textId="77777777" w:rsidR="00B95AED" w:rsidRPr="00B95AED" w:rsidRDefault="00B95AED" w:rsidP="008D17B8">
            <w:pPr>
              <w:spacing w:line="320" w:lineRule="atLeast"/>
              <w:ind w:right="60"/>
              <w:jc w:val="right"/>
              <w:rPr>
                <w:rFonts w:ascii="Calibri" w:hAnsi="Calibri" w:cs="Calibri"/>
                <w:bCs/>
                <w:color w:val="000000" w:themeColor="text1"/>
                <w:sz w:val="20"/>
                <w:szCs w:val="20"/>
              </w:rPr>
            </w:pPr>
          </w:p>
        </w:tc>
      </w:tr>
    </w:tbl>
    <w:p w14:paraId="78F913A3" w14:textId="77777777" w:rsidR="00B95AED" w:rsidRDefault="00B95AED" w:rsidP="00B95AED">
      <w:pPr>
        <w:jc w:val="both"/>
        <w:rPr>
          <w:rFonts w:cstheme="minorHAnsi"/>
        </w:rPr>
      </w:pPr>
    </w:p>
    <w:p w14:paraId="67C9F157" w14:textId="77777777" w:rsidR="007B4FD4" w:rsidRDefault="007B4FD4" w:rsidP="00B95AED">
      <w:pPr>
        <w:jc w:val="both"/>
        <w:rPr>
          <w:rFonts w:cstheme="minorHAnsi"/>
        </w:rPr>
        <w:sectPr w:rsidR="007B4FD4" w:rsidSect="005A0E97">
          <w:footerReference w:type="default" r:id="rId12"/>
          <w:type w:val="continuous"/>
          <w:pgSz w:w="12240" w:h="15840"/>
          <w:pgMar w:top="1296" w:right="1296" w:bottom="1296" w:left="1296" w:header="576" w:footer="576" w:gutter="0"/>
          <w:pgNumType w:start="171"/>
          <w:cols w:space="720"/>
          <w:docGrid w:linePitch="360"/>
        </w:sectPr>
      </w:pPr>
    </w:p>
    <w:p w14:paraId="7CA3B6D8" w14:textId="39712E62" w:rsidR="00F848DB" w:rsidRDefault="00F848DB" w:rsidP="00B95AED">
      <w:pPr>
        <w:jc w:val="both"/>
        <w:rPr>
          <w:rFonts w:cstheme="minorHAnsi"/>
        </w:rPr>
      </w:pPr>
      <w:r w:rsidRPr="00B95AED">
        <w:rPr>
          <w:rFonts w:cstheme="minorHAnsi"/>
        </w:rPr>
        <w:t xml:space="preserve">As far as </w:t>
      </w:r>
      <w:r w:rsidR="00A548F9" w:rsidRPr="00B95AED">
        <w:rPr>
          <w:rFonts w:cstheme="minorHAnsi"/>
        </w:rPr>
        <w:t xml:space="preserve">the </w:t>
      </w:r>
      <w:r w:rsidRPr="00B95AED">
        <w:rPr>
          <w:rFonts w:cstheme="minorHAnsi"/>
        </w:rPr>
        <w:t xml:space="preserve">severity of </w:t>
      </w:r>
      <w:r w:rsidR="007516F4" w:rsidRPr="00B95AED">
        <w:rPr>
          <w:rFonts w:cstheme="minorHAnsi"/>
        </w:rPr>
        <w:t>hearing loss</w:t>
      </w:r>
      <w:r w:rsidRPr="00B95AED">
        <w:rPr>
          <w:rFonts w:cstheme="minorHAnsi"/>
        </w:rPr>
        <w:t xml:space="preserve"> is concerned (</w:t>
      </w:r>
      <w:r w:rsidR="00A548F9" w:rsidRPr="00B95AED">
        <w:rPr>
          <w:rFonts w:cstheme="minorHAnsi"/>
        </w:rPr>
        <w:t>Table</w:t>
      </w:r>
      <w:r w:rsidRPr="00B95AED">
        <w:rPr>
          <w:rFonts w:cstheme="minorHAnsi"/>
        </w:rPr>
        <w:t xml:space="preserve"> </w:t>
      </w:r>
      <w:r w:rsidR="00F93778">
        <w:rPr>
          <w:rFonts w:cstheme="minorHAnsi"/>
        </w:rPr>
        <w:t>II</w:t>
      </w:r>
      <w:r w:rsidRPr="00B95AED">
        <w:rPr>
          <w:rFonts w:cstheme="minorHAnsi"/>
        </w:rPr>
        <w:t xml:space="preserve">), </w:t>
      </w:r>
      <w:r w:rsidR="00A548F9" w:rsidRPr="00B95AED">
        <w:rPr>
          <w:rFonts w:cstheme="minorHAnsi"/>
        </w:rPr>
        <w:t xml:space="preserve">the </w:t>
      </w:r>
      <w:r w:rsidRPr="00B95AED">
        <w:rPr>
          <w:rFonts w:cstheme="minorHAnsi"/>
        </w:rPr>
        <w:t xml:space="preserve">majority, 77 (40.10%) and 71 (36.98%) of right and left ears respectively had moderately severe HL, while severe HL was second commonest </w:t>
      </w:r>
      <w:r w:rsidRPr="00B95AED">
        <w:rPr>
          <w:rFonts w:cstheme="minorHAnsi"/>
        </w:rPr>
        <w:t>with 60</w:t>
      </w:r>
      <w:r w:rsidR="00343725" w:rsidRPr="00B95AED">
        <w:rPr>
          <w:rFonts w:cstheme="minorHAnsi"/>
        </w:rPr>
        <w:t xml:space="preserve"> </w:t>
      </w:r>
      <w:r w:rsidRPr="00B95AED">
        <w:rPr>
          <w:rFonts w:cstheme="minorHAnsi"/>
        </w:rPr>
        <w:t>(31.25%) and 70(36.46%) of right and left ears affected</w:t>
      </w:r>
      <w:r w:rsidR="00343725" w:rsidRPr="00B95AED">
        <w:rPr>
          <w:rFonts w:cstheme="minorHAnsi"/>
        </w:rPr>
        <w:t xml:space="preserve"> respectively</w:t>
      </w:r>
      <w:r w:rsidRPr="00B95AED">
        <w:rPr>
          <w:rFonts w:cstheme="minorHAnsi"/>
        </w:rPr>
        <w:t>. Profound HL was interestingly uncommon with 14(7.29%) and 15(7.81%</w:t>
      </w:r>
      <w:r w:rsidR="00CC637D" w:rsidRPr="00B95AED">
        <w:rPr>
          <w:rFonts w:cstheme="minorHAnsi"/>
        </w:rPr>
        <w:t>)</w:t>
      </w:r>
      <w:r w:rsidRPr="00B95AED">
        <w:rPr>
          <w:rFonts w:cstheme="minorHAnsi"/>
        </w:rPr>
        <w:t xml:space="preserve"> of right and left ears affected. </w:t>
      </w:r>
    </w:p>
    <w:p w14:paraId="3427983C" w14:textId="77777777" w:rsidR="007B4FD4" w:rsidRDefault="007B4FD4" w:rsidP="008D17B8">
      <w:pPr>
        <w:spacing w:line="320" w:lineRule="atLeast"/>
        <w:ind w:left="60" w:right="60"/>
        <w:jc w:val="center"/>
        <w:rPr>
          <w:rFonts w:cstheme="minorHAnsi"/>
          <w:b/>
          <w:sz w:val="20"/>
          <w:szCs w:val="20"/>
        </w:rPr>
        <w:sectPr w:rsidR="007B4FD4" w:rsidSect="005226D8">
          <w:type w:val="continuous"/>
          <w:pgSz w:w="12240" w:h="15840"/>
          <w:pgMar w:top="1296" w:right="1296" w:bottom="1296" w:left="1296" w:header="720" w:footer="720" w:gutter="0"/>
          <w:cols w:num="2" w:space="360"/>
          <w:docGrid w:linePitch="360"/>
        </w:sect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5"/>
        <w:gridCol w:w="1080"/>
        <w:gridCol w:w="810"/>
        <w:gridCol w:w="990"/>
        <w:gridCol w:w="990"/>
        <w:gridCol w:w="990"/>
        <w:gridCol w:w="900"/>
        <w:gridCol w:w="1080"/>
        <w:gridCol w:w="1170"/>
        <w:gridCol w:w="1080"/>
      </w:tblGrid>
      <w:tr w:rsidR="00B95AED" w:rsidRPr="00B95AED" w14:paraId="5BBB431A" w14:textId="77777777" w:rsidTr="00B91378">
        <w:trPr>
          <w:cantSplit/>
          <w:trHeight w:val="20"/>
          <w:jc w:val="center"/>
        </w:trPr>
        <w:tc>
          <w:tcPr>
            <w:tcW w:w="9625" w:type="dxa"/>
            <w:gridSpan w:val="10"/>
            <w:shd w:val="clear" w:color="auto" w:fill="auto"/>
            <w:vAlign w:val="bottom"/>
          </w:tcPr>
          <w:p w14:paraId="0CE5820F" w14:textId="535FB4E0" w:rsidR="00B95AED" w:rsidRPr="00B95AED" w:rsidRDefault="00B95AED" w:rsidP="008D17B8">
            <w:pPr>
              <w:spacing w:line="320" w:lineRule="atLeast"/>
              <w:ind w:left="60" w:right="60"/>
              <w:jc w:val="center"/>
              <w:rPr>
                <w:rFonts w:cstheme="minorHAnsi"/>
                <w:color w:val="000000" w:themeColor="text1"/>
                <w:sz w:val="20"/>
                <w:szCs w:val="20"/>
              </w:rPr>
            </w:pPr>
            <w:r w:rsidRPr="00B95AED">
              <w:rPr>
                <w:rFonts w:cstheme="minorHAnsi"/>
                <w:b/>
                <w:sz w:val="20"/>
                <w:szCs w:val="20"/>
              </w:rPr>
              <w:t xml:space="preserve">Table </w:t>
            </w:r>
            <w:r w:rsidR="00272E1E">
              <w:rPr>
                <w:rFonts w:cstheme="minorHAnsi"/>
                <w:b/>
                <w:sz w:val="20"/>
                <w:szCs w:val="20"/>
              </w:rPr>
              <w:t>II</w:t>
            </w:r>
            <w:r w:rsidRPr="00B95AED">
              <w:rPr>
                <w:rFonts w:cstheme="minorHAnsi"/>
                <w:b/>
                <w:sz w:val="20"/>
                <w:szCs w:val="20"/>
              </w:rPr>
              <w:t>: Age Group &amp; Gender * Degree/ Severity of Hearing Loss: Cross Tabulation (n=192)</w:t>
            </w:r>
          </w:p>
        </w:tc>
      </w:tr>
      <w:tr w:rsidR="00B95AED" w:rsidRPr="00B95AED" w14:paraId="0978B1A3" w14:textId="77777777" w:rsidTr="00B91378">
        <w:trPr>
          <w:cantSplit/>
          <w:trHeight w:val="20"/>
          <w:jc w:val="center"/>
        </w:trPr>
        <w:tc>
          <w:tcPr>
            <w:tcW w:w="535" w:type="dxa"/>
            <w:vMerge w:val="restart"/>
          </w:tcPr>
          <w:p w14:paraId="3A0A2B7D" w14:textId="77777777" w:rsidR="00B95AED" w:rsidRPr="00B95AED" w:rsidRDefault="00B95AED" w:rsidP="00141298">
            <w:pPr>
              <w:jc w:val="center"/>
              <w:rPr>
                <w:rFonts w:cstheme="minorHAnsi"/>
                <w:color w:val="000000" w:themeColor="text1"/>
                <w:sz w:val="20"/>
                <w:szCs w:val="20"/>
              </w:rPr>
            </w:pPr>
            <w:r w:rsidRPr="00B95AED">
              <w:rPr>
                <w:rFonts w:cstheme="minorHAnsi"/>
                <w:color w:val="000000" w:themeColor="text1"/>
                <w:sz w:val="20"/>
                <w:szCs w:val="20"/>
              </w:rPr>
              <w:t>Ear</w:t>
            </w:r>
          </w:p>
        </w:tc>
        <w:tc>
          <w:tcPr>
            <w:tcW w:w="1080" w:type="dxa"/>
            <w:vMerge w:val="restart"/>
          </w:tcPr>
          <w:p w14:paraId="4F82003F" w14:textId="6034F3EF" w:rsidR="00B95AED" w:rsidRPr="00B95AED" w:rsidRDefault="009F7AAF" w:rsidP="00B91378">
            <w:pPr>
              <w:jc w:val="center"/>
              <w:rPr>
                <w:rFonts w:cstheme="minorHAnsi"/>
                <w:color w:val="000000" w:themeColor="text1"/>
                <w:sz w:val="20"/>
                <w:szCs w:val="20"/>
              </w:rPr>
            </w:pPr>
            <w:r w:rsidRPr="00B95AED">
              <w:rPr>
                <w:rFonts w:cstheme="minorHAnsi"/>
                <w:color w:val="000000" w:themeColor="text1"/>
                <w:sz w:val="20"/>
                <w:szCs w:val="20"/>
              </w:rPr>
              <w:t>Age Group</w:t>
            </w:r>
            <w:r w:rsidR="00B95AED" w:rsidRPr="00B95AED">
              <w:rPr>
                <w:rFonts w:cstheme="minorHAnsi"/>
                <w:color w:val="000000" w:themeColor="text1"/>
                <w:sz w:val="20"/>
                <w:szCs w:val="20"/>
              </w:rPr>
              <w:t xml:space="preserve"> (</w:t>
            </w:r>
            <w:r w:rsidRPr="00B95AED">
              <w:rPr>
                <w:rFonts w:cstheme="minorHAnsi"/>
                <w:color w:val="000000" w:themeColor="text1"/>
                <w:sz w:val="20"/>
                <w:szCs w:val="20"/>
              </w:rPr>
              <w:t>Years) &amp;</w:t>
            </w:r>
            <w:r w:rsidR="00B95AED" w:rsidRPr="00B95AED">
              <w:rPr>
                <w:rFonts w:cstheme="minorHAnsi"/>
                <w:color w:val="000000" w:themeColor="text1"/>
                <w:sz w:val="20"/>
                <w:szCs w:val="20"/>
              </w:rPr>
              <w:t xml:space="preserve"> Gender</w:t>
            </w:r>
          </w:p>
        </w:tc>
        <w:tc>
          <w:tcPr>
            <w:tcW w:w="4680" w:type="dxa"/>
            <w:gridSpan w:val="5"/>
            <w:shd w:val="clear" w:color="auto" w:fill="auto"/>
            <w:vAlign w:val="bottom"/>
          </w:tcPr>
          <w:p w14:paraId="49505C69" w14:textId="7FFD2B1A" w:rsidR="00B95AED" w:rsidRPr="00B95AED" w:rsidRDefault="00B95AED" w:rsidP="008D17B8">
            <w:pPr>
              <w:spacing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 xml:space="preserve">Degree/ Severity </w:t>
            </w:r>
            <w:r w:rsidR="009F7AAF" w:rsidRPr="00B95AED">
              <w:rPr>
                <w:rFonts w:cstheme="minorHAnsi"/>
                <w:color w:val="000000" w:themeColor="text1"/>
                <w:sz w:val="20"/>
                <w:szCs w:val="20"/>
              </w:rPr>
              <w:t>of</w:t>
            </w:r>
            <w:r w:rsidRPr="00B95AED">
              <w:rPr>
                <w:rFonts w:cstheme="minorHAnsi"/>
                <w:color w:val="000000" w:themeColor="text1"/>
                <w:sz w:val="20"/>
                <w:szCs w:val="20"/>
              </w:rPr>
              <w:t xml:space="preserve"> Hearing Loss</w:t>
            </w:r>
          </w:p>
        </w:tc>
        <w:tc>
          <w:tcPr>
            <w:tcW w:w="1080" w:type="dxa"/>
            <w:vMerge w:val="restart"/>
            <w:shd w:val="clear" w:color="auto" w:fill="auto"/>
            <w:vAlign w:val="bottom"/>
          </w:tcPr>
          <w:p w14:paraId="2AF5F4B9" w14:textId="77777777" w:rsidR="00B95AED" w:rsidRPr="00B95AED" w:rsidRDefault="00B95AED" w:rsidP="008D17B8">
            <w:pPr>
              <w:spacing w:line="320" w:lineRule="atLeast"/>
              <w:ind w:right="60"/>
              <w:jc w:val="center"/>
              <w:rPr>
                <w:rFonts w:cstheme="minorHAnsi"/>
                <w:color w:val="000000" w:themeColor="text1"/>
                <w:sz w:val="20"/>
                <w:szCs w:val="20"/>
              </w:rPr>
            </w:pPr>
            <w:r w:rsidRPr="00B95AED">
              <w:rPr>
                <w:rFonts w:cstheme="minorHAnsi"/>
                <w:color w:val="000000" w:themeColor="text1"/>
                <w:sz w:val="20"/>
                <w:szCs w:val="20"/>
              </w:rPr>
              <w:t>Total</w:t>
            </w:r>
          </w:p>
          <w:p w14:paraId="38BA291C" w14:textId="77777777" w:rsidR="00B95AED" w:rsidRPr="00B95AED" w:rsidRDefault="00B95AED" w:rsidP="008D17B8">
            <w:pPr>
              <w:spacing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N (%)</w:t>
            </w:r>
          </w:p>
        </w:tc>
        <w:tc>
          <w:tcPr>
            <w:tcW w:w="2250" w:type="dxa"/>
            <w:gridSpan w:val="2"/>
          </w:tcPr>
          <w:p w14:paraId="58C7F116" w14:textId="77777777" w:rsidR="00B95AED" w:rsidRPr="00B95AED" w:rsidRDefault="00B95AED" w:rsidP="008D17B8">
            <w:pPr>
              <w:spacing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Correlations</w:t>
            </w:r>
          </w:p>
        </w:tc>
      </w:tr>
      <w:tr w:rsidR="00B95AED" w:rsidRPr="00B95AED" w14:paraId="1DEE36D2" w14:textId="77777777" w:rsidTr="00B91378">
        <w:trPr>
          <w:cantSplit/>
          <w:trHeight w:val="20"/>
          <w:jc w:val="center"/>
        </w:trPr>
        <w:tc>
          <w:tcPr>
            <w:tcW w:w="535" w:type="dxa"/>
            <w:vMerge/>
            <w:shd w:val="clear" w:color="auto" w:fill="auto"/>
            <w:vAlign w:val="bottom"/>
          </w:tcPr>
          <w:p w14:paraId="7643691E" w14:textId="77777777" w:rsidR="00B95AED" w:rsidRPr="00B95AED" w:rsidRDefault="00B95AED" w:rsidP="00141298">
            <w:pPr>
              <w:spacing w:after="0"/>
              <w:jc w:val="center"/>
              <w:rPr>
                <w:rFonts w:cstheme="minorHAnsi"/>
                <w:color w:val="000000" w:themeColor="text1"/>
                <w:sz w:val="20"/>
                <w:szCs w:val="20"/>
              </w:rPr>
            </w:pPr>
          </w:p>
        </w:tc>
        <w:tc>
          <w:tcPr>
            <w:tcW w:w="1080" w:type="dxa"/>
            <w:vMerge/>
            <w:shd w:val="clear" w:color="auto" w:fill="auto"/>
            <w:textDirection w:val="btLr"/>
            <w:vAlign w:val="bottom"/>
          </w:tcPr>
          <w:p w14:paraId="132498DD" w14:textId="77777777" w:rsidR="00B95AED" w:rsidRPr="00B95AED" w:rsidRDefault="00B95AED" w:rsidP="008D17B8">
            <w:pPr>
              <w:spacing w:after="0"/>
              <w:ind w:left="113" w:right="113"/>
              <w:jc w:val="center"/>
              <w:rPr>
                <w:rFonts w:cstheme="minorHAnsi"/>
                <w:color w:val="000000" w:themeColor="text1"/>
                <w:sz w:val="20"/>
                <w:szCs w:val="20"/>
              </w:rPr>
            </w:pPr>
          </w:p>
        </w:tc>
        <w:tc>
          <w:tcPr>
            <w:tcW w:w="810" w:type="dxa"/>
            <w:shd w:val="clear" w:color="auto" w:fill="auto"/>
            <w:vAlign w:val="bottom"/>
          </w:tcPr>
          <w:p w14:paraId="7E091E96"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Mild</w:t>
            </w:r>
          </w:p>
        </w:tc>
        <w:tc>
          <w:tcPr>
            <w:tcW w:w="990" w:type="dxa"/>
            <w:shd w:val="clear" w:color="auto" w:fill="auto"/>
            <w:vAlign w:val="bottom"/>
          </w:tcPr>
          <w:p w14:paraId="3EE76B8F"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Moderate</w:t>
            </w:r>
          </w:p>
        </w:tc>
        <w:tc>
          <w:tcPr>
            <w:tcW w:w="990" w:type="dxa"/>
            <w:shd w:val="clear" w:color="auto" w:fill="auto"/>
            <w:vAlign w:val="bottom"/>
          </w:tcPr>
          <w:p w14:paraId="4F162B95" w14:textId="77777777" w:rsidR="00B95AED" w:rsidRPr="00B95AED" w:rsidRDefault="00B95AED" w:rsidP="00B91378">
            <w:pPr>
              <w:spacing w:after="0" w:line="240" w:lineRule="auto"/>
              <w:rPr>
                <w:rFonts w:cstheme="minorHAnsi"/>
                <w:color w:val="000000" w:themeColor="text1"/>
                <w:sz w:val="20"/>
                <w:szCs w:val="20"/>
              </w:rPr>
            </w:pPr>
            <w:r w:rsidRPr="00B95AED">
              <w:rPr>
                <w:rFonts w:cstheme="minorHAnsi"/>
                <w:color w:val="000000" w:themeColor="text1"/>
                <w:sz w:val="20"/>
                <w:szCs w:val="20"/>
              </w:rPr>
              <w:t>Moderately Severe</w:t>
            </w:r>
          </w:p>
        </w:tc>
        <w:tc>
          <w:tcPr>
            <w:tcW w:w="990" w:type="dxa"/>
            <w:shd w:val="clear" w:color="auto" w:fill="auto"/>
            <w:vAlign w:val="bottom"/>
          </w:tcPr>
          <w:p w14:paraId="2092DCC8"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Severe</w:t>
            </w:r>
          </w:p>
        </w:tc>
        <w:tc>
          <w:tcPr>
            <w:tcW w:w="900" w:type="dxa"/>
            <w:shd w:val="clear" w:color="auto" w:fill="auto"/>
            <w:vAlign w:val="bottom"/>
          </w:tcPr>
          <w:p w14:paraId="3D2C9C7A"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Profound</w:t>
            </w:r>
          </w:p>
        </w:tc>
        <w:tc>
          <w:tcPr>
            <w:tcW w:w="1080" w:type="dxa"/>
            <w:vMerge/>
            <w:shd w:val="clear" w:color="auto" w:fill="auto"/>
            <w:vAlign w:val="bottom"/>
          </w:tcPr>
          <w:p w14:paraId="737BDA85" w14:textId="77777777" w:rsidR="00B95AED" w:rsidRPr="00B95AED" w:rsidRDefault="00B95AED" w:rsidP="008D17B8">
            <w:pPr>
              <w:spacing w:after="0"/>
              <w:jc w:val="center"/>
              <w:rPr>
                <w:rFonts w:cstheme="minorHAnsi"/>
                <w:color w:val="000000" w:themeColor="text1"/>
                <w:sz w:val="20"/>
                <w:szCs w:val="20"/>
              </w:rPr>
            </w:pPr>
          </w:p>
        </w:tc>
        <w:tc>
          <w:tcPr>
            <w:tcW w:w="1170" w:type="dxa"/>
          </w:tcPr>
          <w:p w14:paraId="717B173A" w14:textId="77777777" w:rsidR="00B95AED" w:rsidRPr="00B95AED" w:rsidRDefault="00B95AED" w:rsidP="008D17B8">
            <w:pPr>
              <w:spacing w:after="0"/>
              <w:jc w:val="center"/>
              <w:rPr>
                <w:rFonts w:cstheme="minorHAnsi"/>
                <w:color w:val="000000" w:themeColor="text1"/>
                <w:sz w:val="20"/>
                <w:szCs w:val="20"/>
              </w:rPr>
            </w:pPr>
            <w:r w:rsidRPr="00B95AED">
              <w:rPr>
                <w:rFonts w:cstheme="minorHAnsi"/>
                <w:color w:val="000000" w:themeColor="text1"/>
                <w:sz w:val="20"/>
                <w:szCs w:val="20"/>
              </w:rPr>
              <w:t>Chi-Square</w:t>
            </w:r>
          </w:p>
        </w:tc>
        <w:tc>
          <w:tcPr>
            <w:tcW w:w="1080" w:type="dxa"/>
          </w:tcPr>
          <w:p w14:paraId="48A5DBCE" w14:textId="393B180F" w:rsidR="00B95AED" w:rsidRPr="00B95AED" w:rsidRDefault="00B95AED" w:rsidP="00B91378">
            <w:pPr>
              <w:spacing w:after="0" w:line="320" w:lineRule="atLeast"/>
              <w:ind w:right="60"/>
              <w:jc w:val="center"/>
              <w:rPr>
                <w:rFonts w:cstheme="minorHAnsi"/>
                <w:color w:val="000000" w:themeColor="text1"/>
                <w:sz w:val="20"/>
                <w:szCs w:val="20"/>
              </w:rPr>
            </w:pPr>
            <w:r w:rsidRPr="00B95AED">
              <w:rPr>
                <w:rFonts w:cstheme="minorHAnsi"/>
                <w:color w:val="000000" w:themeColor="text1"/>
                <w:sz w:val="20"/>
                <w:szCs w:val="20"/>
              </w:rPr>
              <w:t>Pearson's R</w:t>
            </w:r>
          </w:p>
        </w:tc>
      </w:tr>
      <w:tr w:rsidR="00B95AED" w:rsidRPr="00B95AED" w14:paraId="5BA0715A" w14:textId="77777777" w:rsidTr="00B91378">
        <w:trPr>
          <w:cantSplit/>
          <w:trHeight w:val="20"/>
          <w:jc w:val="center"/>
        </w:trPr>
        <w:tc>
          <w:tcPr>
            <w:tcW w:w="535" w:type="dxa"/>
            <w:vMerge w:val="restart"/>
            <w:shd w:val="clear" w:color="auto" w:fill="auto"/>
          </w:tcPr>
          <w:p w14:paraId="56B9C69E" w14:textId="77777777" w:rsidR="00B95AED" w:rsidRPr="00B95AED" w:rsidRDefault="00B95AED" w:rsidP="00141298">
            <w:pPr>
              <w:spacing w:after="0" w:line="320" w:lineRule="atLeast"/>
              <w:ind w:right="60"/>
              <w:jc w:val="center"/>
              <w:rPr>
                <w:rFonts w:cstheme="minorHAnsi"/>
                <w:color w:val="000000" w:themeColor="text1"/>
                <w:sz w:val="20"/>
                <w:szCs w:val="20"/>
              </w:rPr>
            </w:pPr>
            <w:r w:rsidRPr="00B95AED">
              <w:rPr>
                <w:rFonts w:cstheme="minorHAnsi"/>
                <w:color w:val="000000" w:themeColor="text1"/>
                <w:sz w:val="20"/>
                <w:szCs w:val="20"/>
              </w:rPr>
              <w:t>Right</w:t>
            </w:r>
          </w:p>
        </w:tc>
        <w:tc>
          <w:tcPr>
            <w:tcW w:w="1080" w:type="dxa"/>
            <w:shd w:val="clear" w:color="auto" w:fill="auto"/>
          </w:tcPr>
          <w:p w14:paraId="30057B4F"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50 To 55</w:t>
            </w:r>
          </w:p>
        </w:tc>
        <w:tc>
          <w:tcPr>
            <w:tcW w:w="810" w:type="dxa"/>
            <w:shd w:val="clear" w:color="auto" w:fill="auto"/>
          </w:tcPr>
          <w:p w14:paraId="5D584C5B"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w:t>
            </w:r>
          </w:p>
        </w:tc>
        <w:tc>
          <w:tcPr>
            <w:tcW w:w="990" w:type="dxa"/>
            <w:shd w:val="clear" w:color="auto" w:fill="auto"/>
          </w:tcPr>
          <w:p w14:paraId="1F7623EA"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8</w:t>
            </w:r>
          </w:p>
        </w:tc>
        <w:tc>
          <w:tcPr>
            <w:tcW w:w="990" w:type="dxa"/>
            <w:shd w:val="clear" w:color="auto" w:fill="auto"/>
          </w:tcPr>
          <w:p w14:paraId="124C8E38"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7</w:t>
            </w:r>
          </w:p>
        </w:tc>
        <w:tc>
          <w:tcPr>
            <w:tcW w:w="990" w:type="dxa"/>
            <w:shd w:val="clear" w:color="auto" w:fill="auto"/>
          </w:tcPr>
          <w:p w14:paraId="1DF8B564"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w:t>
            </w:r>
          </w:p>
        </w:tc>
        <w:tc>
          <w:tcPr>
            <w:tcW w:w="900" w:type="dxa"/>
            <w:shd w:val="clear" w:color="auto" w:fill="auto"/>
          </w:tcPr>
          <w:p w14:paraId="695375E6"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1080" w:type="dxa"/>
            <w:shd w:val="clear" w:color="auto" w:fill="auto"/>
          </w:tcPr>
          <w:p w14:paraId="41DED7B7"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18(9.37)</w:t>
            </w:r>
          </w:p>
        </w:tc>
        <w:tc>
          <w:tcPr>
            <w:tcW w:w="1170" w:type="dxa"/>
            <w:vMerge w:val="restart"/>
          </w:tcPr>
          <w:p w14:paraId="1D06552F"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Value: 145.36</w:t>
            </w:r>
          </w:p>
          <w:p w14:paraId="16FEAD6A"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P-Value: 0.000</w:t>
            </w:r>
          </w:p>
        </w:tc>
        <w:tc>
          <w:tcPr>
            <w:tcW w:w="1080" w:type="dxa"/>
            <w:vMerge w:val="restart"/>
          </w:tcPr>
          <w:p w14:paraId="434F7DF8"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Value: 0.699</w:t>
            </w:r>
          </w:p>
        </w:tc>
      </w:tr>
      <w:tr w:rsidR="00B95AED" w:rsidRPr="00B95AED" w14:paraId="34DC8969" w14:textId="77777777" w:rsidTr="00B91378">
        <w:trPr>
          <w:cantSplit/>
          <w:trHeight w:val="20"/>
          <w:jc w:val="center"/>
        </w:trPr>
        <w:tc>
          <w:tcPr>
            <w:tcW w:w="535" w:type="dxa"/>
            <w:vMerge/>
            <w:shd w:val="clear" w:color="auto" w:fill="auto"/>
          </w:tcPr>
          <w:p w14:paraId="352976DE" w14:textId="77777777" w:rsidR="00B95AED" w:rsidRPr="00B95AED" w:rsidRDefault="00B95AED" w:rsidP="00141298">
            <w:pPr>
              <w:spacing w:after="0"/>
              <w:jc w:val="center"/>
              <w:rPr>
                <w:rFonts w:cstheme="minorHAnsi"/>
                <w:color w:val="000000" w:themeColor="text1"/>
                <w:sz w:val="20"/>
                <w:szCs w:val="20"/>
              </w:rPr>
            </w:pPr>
          </w:p>
        </w:tc>
        <w:tc>
          <w:tcPr>
            <w:tcW w:w="1080" w:type="dxa"/>
            <w:shd w:val="clear" w:color="auto" w:fill="auto"/>
          </w:tcPr>
          <w:p w14:paraId="12C1EF14"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56 To 60</w:t>
            </w:r>
          </w:p>
        </w:tc>
        <w:tc>
          <w:tcPr>
            <w:tcW w:w="810" w:type="dxa"/>
            <w:shd w:val="clear" w:color="auto" w:fill="auto"/>
          </w:tcPr>
          <w:p w14:paraId="34FD903B"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w:t>
            </w:r>
          </w:p>
        </w:tc>
        <w:tc>
          <w:tcPr>
            <w:tcW w:w="990" w:type="dxa"/>
            <w:shd w:val="clear" w:color="auto" w:fill="auto"/>
          </w:tcPr>
          <w:p w14:paraId="7E930996"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21</w:t>
            </w:r>
          </w:p>
        </w:tc>
        <w:tc>
          <w:tcPr>
            <w:tcW w:w="990" w:type="dxa"/>
            <w:shd w:val="clear" w:color="auto" w:fill="auto"/>
          </w:tcPr>
          <w:p w14:paraId="69E3BDBE"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11</w:t>
            </w:r>
          </w:p>
        </w:tc>
        <w:tc>
          <w:tcPr>
            <w:tcW w:w="990" w:type="dxa"/>
            <w:shd w:val="clear" w:color="auto" w:fill="auto"/>
          </w:tcPr>
          <w:p w14:paraId="60F324C6"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w:t>
            </w:r>
          </w:p>
        </w:tc>
        <w:tc>
          <w:tcPr>
            <w:tcW w:w="900" w:type="dxa"/>
            <w:shd w:val="clear" w:color="auto" w:fill="auto"/>
          </w:tcPr>
          <w:p w14:paraId="6AD69858"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1080" w:type="dxa"/>
            <w:shd w:val="clear" w:color="auto" w:fill="auto"/>
          </w:tcPr>
          <w:p w14:paraId="459F4EB2"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34(17.71)</w:t>
            </w:r>
          </w:p>
        </w:tc>
        <w:tc>
          <w:tcPr>
            <w:tcW w:w="1170" w:type="dxa"/>
            <w:vMerge/>
          </w:tcPr>
          <w:p w14:paraId="0B9ADDB5"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4F381077"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49DF7CE4" w14:textId="77777777" w:rsidTr="00B91378">
        <w:trPr>
          <w:cantSplit/>
          <w:trHeight w:val="20"/>
          <w:jc w:val="center"/>
        </w:trPr>
        <w:tc>
          <w:tcPr>
            <w:tcW w:w="535" w:type="dxa"/>
            <w:vMerge/>
            <w:shd w:val="clear" w:color="auto" w:fill="auto"/>
          </w:tcPr>
          <w:p w14:paraId="0B90555E" w14:textId="77777777" w:rsidR="00B95AED" w:rsidRPr="00B95AED" w:rsidRDefault="00B95AED" w:rsidP="00141298">
            <w:pPr>
              <w:spacing w:after="0"/>
              <w:jc w:val="center"/>
              <w:rPr>
                <w:rFonts w:cstheme="minorHAnsi"/>
                <w:color w:val="000000" w:themeColor="text1"/>
                <w:sz w:val="20"/>
                <w:szCs w:val="20"/>
              </w:rPr>
            </w:pPr>
          </w:p>
        </w:tc>
        <w:tc>
          <w:tcPr>
            <w:tcW w:w="1080" w:type="dxa"/>
            <w:shd w:val="clear" w:color="auto" w:fill="auto"/>
          </w:tcPr>
          <w:p w14:paraId="3B27B0EB"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61 To 65</w:t>
            </w:r>
          </w:p>
        </w:tc>
        <w:tc>
          <w:tcPr>
            <w:tcW w:w="810" w:type="dxa"/>
            <w:shd w:val="clear" w:color="auto" w:fill="auto"/>
          </w:tcPr>
          <w:p w14:paraId="7CBB02EE"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2D6C6351"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7</w:t>
            </w:r>
          </w:p>
        </w:tc>
        <w:tc>
          <w:tcPr>
            <w:tcW w:w="990" w:type="dxa"/>
            <w:shd w:val="clear" w:color="auto" w:fill="auto"/>
          </w:tcPr>
          <w:p w14:paraId="322AE1D5"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25</w:t>
            </w:r>
          </w:p>
        </w:tc>
        <w:tc>
          <w:tcPr>
            <w:tcW w:w="990" w:type="dxa"/>
            <w:shd w:val="clear" w:color="auto" w:fill="auto"/>
          </w:tcPr>
          <w:p w14:paraId="32268631"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8</w:t>
            </w:r>
          </w:p>
        </w:tc>
        <w:tc>
          <w:tcPr>
            <w:tcW w:w="900" w:type="dxa"/>
            <w:shd w:val="clear" w:color="auto" w:fill="auto"/>
          </w:tcPr>
          <w:p w14:paraId="0AF6C92A"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1080" w:type="dxa"/>
            <w:shd w:val="clear" w:color="auto" w:fill="auto"/>
          </w:tcPr>
          <w:p w14:paraId="38900F0C"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40(20.83)</w:t>
            </w:r>
          </w:p>
        </w:tc>
        <w:tc>
          <w:tcPr>
            <w:tcW w:w="1170" w:type="dxa"/>
            <w:vMerge/>
          </w:tcPr>
          <w:p w14:paraId="099E2172"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1275BCFA"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46CC9BA0" w14:textId="77777777" w:rsidTr="00B91378">
        <w:trPr>
          <w:cantSplit/>
          <w:trHeight w:val="20"/>
          <w:jc w:val="center"/>
        </w:trPr>
        <w:tc>
          <w:tcPr>
            <w:tcW w:w="535" w:type="dxa"/>
            <w:vMerge/>
            <w:shd w:val="clear" w:color="auto" w:fill="auto"/>
          </w:tcPr>
          <w:p w14:paraId="1DC707E7" w14:textId="77777777" w:rsidR="00B95AED" w:rsidRPr="00B95AED" w:rsidRDefault="00B95AED" w:rsidP="00141298">
            <w:pPr>
              <w:spacing w:after="0"/>
              <w:jc w:val="center"/>
              <w:rPr>
                <w:rFonts w:cstheme="minorHAnsi"/>
                <w:color w:val="000000" w:themeColor="text1"/>
                <w:sz w:val="20"/>
                <w:szCs w:val="20"/>
              </w:rPr>
            </w:pPr>
          </w:p>
        </w:tc>
        <w:tc>
          <w:tcPr>
            <w:tcW w:w="1080" w:type="dxa"/>
            <w:shd w:val="clear" w:color="auto" w:fill="auto"/>
          </w:tcPr>
          <w:p w14:paraId="7786F0EC"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66 To 70</w:t>
            </w:r>
          </w:p>
        </w:tc>
        <w:tc>
          <w:tcPr>
            <w:tcW w:w="810" w:type="dxa"/>
            <w:shd w:val="clear" w:color="auto" w:fill="auto"/>
          </w:tcPr>
          <w:p w14:paraId="0ED57CEE"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2F267F38"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w:t>
            </w:r>
          </w:p>
        </w:tc>
        <w:tc>
          <w:tcPr>
            <w:tcW w:w="990" w:type="dxa"/>
            <w:shd w:val="clear" w:color="auto" w:fill="auto"/>
          </w:tcPr>
          <w:p w14:paraId="72EB4921"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27</w:t>
            </w:r>
          </w:p>
        </w:tc>
        <w:tc>
          <w:tcPr>
            <w:tcW w:w="990" w:type="dxa"/>
            <w:shd w:val="clear" w:color="auto" w:fill="auto"/>
          </w:tcPr>
          <w:p w14:paraId="47616342"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19</w:t>
            </w:r>
          </w:p>
        </w:tc>
        <w:tc>
          <w:tcPr>
            <w:tcW w:w="900" w:type="dxa"/>
            <w:shd w:val="clear" w:color="auto" w:fill="auto"/>
          </w:tcPr>
          <w:p w14:paraId="7E29C6F2"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w:t>
            </w:r>
          </w:p>
        </w:tc>
        <w:tc>
          <w:tcPr>
            <w:tcW w:w="1080" w:type="dxa"/>
            <w:shd w:val="clear" w:color="auto" w:fill="auto"/>
          </w:tcPr>
          <w:p w14:paraId="23C2284E"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49(25.52)</w:t>
            </w:r>
          </w:p>
        </w:tc>
        <w:tc>
          <w:tcPr>
            <w:tcW w:w="1170" w:type="dxa"/>
            <w:vMerge/>
          </w:tcPr>
          <w:p w14:paraId="6A90EB82" w14:textId="77777777" w:rsidR="00B95AED" w:rsidRPr="00B95AED" w:rsidRDefault="00B95AED" w:rsidP="008D17B8">
            <w:pPr>
              <w:spacing w:after="0" w:line="320" w:lineRule="atLeast"/>
              <w:ind w:left="60" w:right="60"/>
              <w:jc w:val="center"/>
              <w:rPr>
                <w:rFonts w:cstheme="minorHAnsi"/>
                <w:bCs/>
                <w:color w:val="000000" w:themeColor="text1"/>
                <w:sz w:val="20"/>
                <w:szCs w:val="20"/>
              </w:rPr>
            </w:pPr>
          </w:p>
        </w:tc>
        <w:tc>
          <w:tcPr>
            <w:tcW w:w="1080" w:type="dxa"/>
            <w:vMerge/>
          </w:tcPr>
          <w:p w14:paraId="54A7DCC0" w14:textId="77777777" w:rsidR="00B95AED" w:rsidRPr="00B95AED" w:rsidRDefault="00B95AED" w:rsidP="008D17B8">
            <w:pPr>
              <w:spacing w:after="0" w:line="320" w:lineRule="atLeast"/>
              <w:ind w:left="60" w:right="60"/>
              <w:jc w:val="center"/>
              <w:rPr>
                <w:rFonts w:cstheme="minorHAnsi"/>
                <w:bCs/>
                <w:color w:val="000000" w:themeColor="text1"/>
                <w:sz w:val="20"/>
                <w:szCs w:val="20"/>
              </w:rPr>
            </w:pPr>
          </w:p>
        </w:tc>
      </w:tr>
      <w:tr w:rsidR="00B95AED" w:rsidRPr="00B95AED" w14:paraId="7C9B0B48" w14:textId="77777777" w:rsidTr="00B91378">
        <w:trPr>
          <w:cantSplit/>
          <w:trHeight w:val="20"/>
          <w:jc w:val="center"/>
        </w:trPr>
        <w:tc>
          <w:tcPr>
            <w:tcW w:w="535" w:type="dxa"/>
            <w:vMerge/>
            <w:shd w:val="clear" w:color="auto" w:fill="auto"/>
          </w:tcPr>
          <w:p w14:paraId="327B15DA" w14:textId="77777777" w:rsidR="00B95AED" w:rsidRPr="00B95AED" w:rsidRDefault="00B95AED" w:rsidP="00141298">
            <w:pPr>
              <w:spacing w:after="0"/>
              <w:jc w:val="center"/>
              <w:rPr>
                <w:rFonts w:cstheme="minorHAnsi"/>
                <w:color w:val="000000" w:themeColor="text1"/>
                <w:sz w:val="20"/>
                <w:szCs w:val="20"/>
              </w:rPr>
            </w:pPr>
          </w:p>
        </w:tc>
        <w:tc>
          <w:tcPr>
            <w:tcW w:w="1080" w:type="dxa"/>
            <w:shd w:val="clear" w:color="auto" w:fill="auto"/>
          </w:tcPr>
          <w:p w14:paraId="37022609"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71 To 75</w:t>
            </w:r>
          </w:p>
        </w:tc>
        <w:tc>
          <w:tcPr>
            <w:tcW w:w="810" w:type="dxa"/>
            <w:shd w:val="clear" w:color="auto" w:fill="auto"/>
          </w:tcPr>
          <w:p w14:paraId="6879F8F0"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2A500EF1"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w:t>
            </w:r>
          </w:p>
        </w:tc>
        <w:tc>
          <w:tcPr>
            <w:tcW w:w="990" w:type="dxa"/>
            <w:shd w:val="clear" w:color="auto" w:fill="auto"/>
          </w:tcPr>
          <w:p w14:paraId="5C5A01C6"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5</w:t>
            </w:r>
          </w:p>
        </w:tc>
        <w:tc>
          <w:tcPr>
            <w:tcW w:w="990" w:type="dxa"/>
            <w:shd w:val="clear" w:color="auto" w:fill="auto"/>
          </w:tcPr>
          <w:p w14:paraId="0402FB0D"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21</w:t>
            </w:r>
          </w:p>
        </w:tc>
        <w:tc>
          <w:tcPr>
            <w:tcW w:w="900" w:type="dxa"/>
            <w:shd w:val="clear" w:color="auto" w:fill="auto"/>
          </w:tcPr>
          <w:p w14:paraId="0165C757"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5</w:t>
            </w:r>
          </w:p>
        </w:tc>
        <w:tc>
          <w:tcPr>
            <w:tcW w:w="1080" w:type="dxa"/>
            <w:shd w:val="clear" w:color="auto" w:fill="auto"/>
          </w:tcPr>
          <w:p w14:paraId="389D0F20"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32(16.67)</w:t>
            </w:r>
          </w:p>
        </w:tc>
        <w:tc>
          <w:tcPr>
            <w:tcW w:w="1170" w:type="dxa"/>
            <w:vMerge/>
          </w:tcPr>
          <w:p w14:paraId="7C5A1324"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269D538D"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676DBBE6" w14:textId="77777777" w:rsidTr="00B91378">
        <w:trPr>
          <w:cantSplit/>
          <w:trHeight w:val="20"/>
          <w:jc w:val="center"/>
        </w:trPr>
        <w:tc>
          <w:tcPr>
            <w:tcW w:w="535" w:type="dxa"/>
            <w:vMerge/>
            <w:shd w:val="clear" w:color="auto" w:fill="auto"/>
          </w:tcPr>
          <w:p w14:paraId="630CB8CC" w14:textId="77777777" w:rsidR="00B95AED" w:rsidRPr="00B95AED" w:rsidRDefault="00B95AED" w:rsidP="00141298">
            <w:pPr>
              <w:spacing w:after="0"/>
              <w:jc w:val="center"/>
              <w:rPr>
                <w:rFonts w:cstheme="minorHAnsi"/>
                <w:color w:val="000000" w:themeColor="text1"/>
                <w:sz w:val="20"/>
                <w:szCs w:val="20"/>
              </w:rPr>
            </w:pPr>
          </w:p>
        </w:tc>
        <w:tc>
          <w:tcPr>
            <w:tcW w:w="1080" w:type="dxa"/>
            <w:shd w:val="clear" w:color="auto" w:fill="auto"/>
          </w:tcPr>
          <w:p w14:paraId="7A1A5CD2"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76 To 80</w:t>
            </w:r>
          </w:p>
        </w:tc>
        <w:tc>
          <w:tcPr>
            <w:tcW w:w="810" w:type="dxa"/>
            <w:shd w:val="clear" w:color="auto" w:fill="auto"/>
          </w:tcPr>
          <w:p w14:paraId="6067E803"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0D3CA185"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6A0D2A67"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w:t>
            </w:r>
          </w:p>
        </w:tc>
        <w:tc>
          <w:tcPr>
            <w:tcW w:w="990" w:type="dxa"/>
            <w:shd w:val="clear" w:color="auto" w:fill="auto"/>
          </w:tcPr>
          <w:p w14:paraId="1620AF60"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10</w:t>
            </w:r>
          </w:p>
        </w:tc>
        <w:tc>
          <w:tcPr>
            <w:tcW w:w="900" w:type="dxa"/>
            <w:shd w:val="clear" w:color="auto" w:fill="auto"/>
          </w:tcPr>
          <w:p w14:paraId="7EF4B64F"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7</w:t>
            </w:r>
          </w:p>
        </w:tc>
        <w:tc>
          <w:tcPr>
            <w:tcW w:w="1080" w:type="dxa"/>
            <w:shd w:val="clear" w:color="auto" w:fill="auto"/>
          </w:tcPr>
          <w:p w14:paraId="0D02FCFF"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19(9.89)</w:t>
            </w:r>
          </w:p>
        </w:tc>
        <w:tc>
          <w:tcPr>
            <w:tcW w:w="1170" w:type="dxa"/>
            <w:vMerge/>
          </w:tcPr>
          <w:p w14:paraId="46B085B3"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7D05ED4E"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43BDDE77" w14:textId="77777777" w:rsidTr="00B91378">
        <w:trPr>
          <w:cantSplit/>
          <w:trHeight w:val="20"/>
          <w:jc w:val="center"/>
        </w:trPr>
        <w:tc>
          <w:tcPr>
            <w:tcW w:w="535" w:type="dxa"/>
            <w:shd w:val="clear" w:color="auto" w:fill="auto"/>
          </w:tcPr>
          <w:p w14:paraId="77CE5C6A"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shd w:val="clear" w:color="auto" w:fill="auto"/>
          </w:tcPr>
          <w:p w14:paraId="42BC43FF" w14:textId="4BA05B3C" w:rsidR="00B95AED" w:rsidRPr="00B95AED" w:rsidRDefault="00B95AED" w:rsidP="008D17B8">
            <w:pPr>
              <w:spacing w:after="0" w:line="240" w:lineRule="auto"/>
              <w:ind w:left="60" w:right="60"/>
              <w:rPr>
                <w:rFonts w:cstheme="minorHAnsi"/>
                <w:color w:val="000000" w:themeColor="text1"/>
                <w:sz w:val="20"/>
                <w:szCs w:val="20"/>
              </w:rPr>
            </w:pPr>
            <w:r w:rsidRPr="00B95AED">
              <w:rPr>
                <w:rFonts w:cstheme="minorHAnsi"/>
                <w:color w:val="000000" w:themeColor="text1"/>
                <w:sz w:val="20"/>
                <w:szCs w:val="20"/>
              </w:rPr>
              <w:t xml:space="preserve">Total </w:t>
            </w:r>
            <w:r w:rsidR="009F7AAF" w:rsidRPr="00B95AED">
              <w:rPr>
                <w:rFonts w:cstheme="minorHAnsi"/>
                <w:color w:val="000000" w:themeColor="text1"/>
                <w:sz w:val="20"/>
                <w:szCs w:val="20"/>
              </w:rPr>
              <w:t>N (</w:t>
            </w:r>
            <w:r w:rsidRPr="00B95AED">
              <w:rPr>
                <w:rFonts w:cstheme="minorHAnsi"/>
                <w:color w:val="000000" w:themeColor="text1"/>
                <w:sz w:val="20"/>
                <w:szCs w:val="20"/>
              </w:rPr>
              <w:t>%)</w:t>
            </w:r>
          </w:p>
        </w:tc>
        <w:tc>
          <w:tcPr>
            <w:tcW w:w="810" w:type="dxa"/>
            <w:shd w:val="clear" w:color="auto" w:fill="auto"/>
          </w:tcPr>
          <w:p w14:paraId="4B896048"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3 (1.56)</w:t>
            </w:r>
          </w:p>
        </w:tc>
        <w:tc>
          <w:tcPr>
            <w:tcW w:w="990" w:type="dxa"/>
            <w:shd w:val="clear" w:color="auto" w:fill="auto"/>
          </w:tcPr>
          <w:p w14:paraId="703F9168"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38 (19.79)</w:t>
            </w:r>
          </w:p>
        </w:tc>
        <w:tc>
          <w:tcPr>
            <w:tcW w:w="990" w:type="dxa"/>
            <w:shd w:val="clear" w:color="auto" w:fill="auto"/>
          </w:tcPr>
          <w:p w14:paraId="51BA2829"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77 (40.10)</w:t>
            </w:r>
          </w:p>
        </w:tc>
        <w:tc>
          <w:tcPr>
            <w:tcW w:w="990" w:type="dxa"/>
            <w:shd w:val="clear" w:color="auto" w:fill="auto"/>
          </w:tcPr>
          <w:p w14:paraId="6DA37D97"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60 (31.25)</w:t>
            </w:r>
          </w:p>
        </w:tc>
        <w:tc>
          <w:tcPr>
            <w:tcW w:w="900" w:type="dxa"/>
            <w:shd w:val="clear" w:color="auto" w:fill="auto"/>
          </w:tcPr>
          <w:p w14:paraId="3415FBBF"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14 (7.29)</w:t>
            </w:r>
          </w:p>
        </w:tc>
        <w:tc>
          <w:tcPr>
            <w:tcW w:w="1080" w:type="dxa"/>
            <w:shd w:val="clear" w:color="auto" w:fill="auto"/>
          </w:tcPr>
          <w:p w14:paraId="4A67ABD2"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192 (100)</w:t>
            </w:r>
          </w:p>
        </w:tc>
        <w:tc>
          <w:tcPr>
            <w:tcW w:w="1170" w:type="dxa"/>
            <w:vMerge/>
          </w:tcPr>
          <w:p w14:paraId="0637848A"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1AE44F2B"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4161BDDD" w14:textId="77777777" w:rsidTr="00B91378">
        <w:trPr>
          <w:cantSplit/>
          <w:trHeight w:val="20"/>
          <w:jc w:val="center"/>
        </w:trPr>
        <w:tc>
          <w:tcPr>
            <w:tcW w:w="535" w:type="dxa"/>
            <w:vMerge w:val="restart"/>
            <w:shd w:val="clear" w:color="auto" w:fill="auto"/>
          </w:tcPr>
          <w:p w14:paraId="660C5DC2"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Left</w:t>
            </w:r>
          </w:p>
          <w:p w14:paraId="0375D637" w14:textId="77777777" w:rsidR="00B95AED" w:rsidRPr="00B95AED" w:rsidRDefault="00B95AED" w:rsidP="008D17B8">
            <w:pPr>
              <w:spacing w:after="0" w:line="320" w:lineRule="atLeast"/>
              <w:ind w:left="60" w:right="60"/>
              <w:jc w:val="center"/>
              <w:rPr>
                <w:rFonts w:cstheme="minorHAnsi"/>
                <w:color w:val="000000" w:themeColor="text1"/>
                <w:sz w:val="20"/>
                <w:szCs w:val="20"/>
              </w:rPr>
            </w:pPr>
          </w:p>
          <w:p w14:paraId="5AA79D52" w14:textId="77777777" w:rsidR="00B95AED" w:rsidRPr="00B95AED" w:rsidRDefault="00B95AED" w:rsidP="008D17B8">
            <w:pPr>
              <w:spacing w:after="0" w:line="320" w:lineRule="atLeast"/>
              <w:ind w:left="60" w:right="60"/>
              <w:jc w:val="center"/>
              <w:rPr>
                <w:rFonts w:cstheme="minorHAnsi"/>
                <w:color w:val="000000" w:themeColor="text1"/>
                <w:sz w:val="20"/>
                <w:szCs w:val="20"/>
              </w:rPr>
            </w:pPr>
          </w:p>
          <w:p w14:paraId="6B4B4C78" w14:textId="77777777" w:rsidR="00B95AED" w:rsidRPr="00B95AED" w:rsidRDefault="00B95AED" w:rsidP="008D17B8">
            <w:pPr>
              <w:spacing w:after="0" w:line="320" w:lineRule="atLeast"/>
              <w:ind w:left="60" w:right="60"/>
              <w:jc w:val="center"/>
              <w:rPr>
                <w:rFonts w:cstheme="minorHAnsi"/>
                <w:color w:val="000000" w:themeColor="text1"/>
                <w:sz w:val="20"/>
                <w:szCs w:val="20"/>
              </w:rPr>
            </w:pPr>
          </w:p>
          <w:p w14:paraId="42C19732" w14:textId="77777777" w:rsidR="00B95AED" w:rsidRPr="00B95AED" w:rsidRDefault="00B95AED" w:rsidP="008D17B8">
            <w:pPr>
              <w:spacing w:after="0" w:line="320" w:lineRule="atLeast"/>
              <w:ind w:left="60" w:right="60"/>
              <w:jc w:val="center"/>
              <w:rPr>
                <w:rFonts w:cstheme="minorHAnsi"/>
                <w:color w:val="000000" w:themeColor="text1"/>
                <w:sz w:val="20"/>
                <w:szCs w:val="20"/>
              </w:rPr>
            </w:pPr>
          </w:p>
          <w:p w14:paraId="17D23FE5"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shd w:val="clear" w:color="auto" w:fill="auto"/>
          </w:tcPr>
          <w:p w14:paraId="77E9E8CA"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50 To 55</w:t>
            </w:r>
          </w:p>
        </w:tc>
        <w:tc>
          <w:tcPr>
            <w:tcW w:w="810" w:type="dxa"/>
            <w:shd w:val="clear" w:color="auto" w:fill="auto"/>
          </w:tcPr>
          <w:p w14:paraId="63947ADA"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w:t>
            </w:r>
          </w:p>
        </w:tc>
        <w:tc>
          <w:tcPr>
            <w:tcW w:w="990" w:type="dxa"/>
            <w:shd w:val="clear" w:color="auto" w:fill="auto"/>
          </w:tcPr>
          <w:p w14:paraId="5239E592"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9</w:t>
            </w:r>
          </w:p>
        </w:tc>
        <w:tc>
          <w:tcPr>
            <w:tcW w:w="990" w:type="dxa"/>
            <w:shd w:val="clear" w:color="auto" w:fill="auto"/>
          </w:tcPr>
          <w:p w14:paraId="1228ECDB"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5</w:t>
            </w:r>
          </w:p>
        </w:tc>
        <w:tc>
          <w:tcPr>
            <w:tcW w:w="990" w:type="dxa"/>
            <w:shd w:val="clear" w:color="auto" w:fill="auto"/>
          </w:tcPr>
          <w:p w14:paraId="471346BB"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w:t>
            </w:r>
          </w:p>
        </w:tc>
        <w:tc>
          <w:tcPr>
            <w:tcW w:w="900" w:type="dxa"/>
            <w:shd w:val="clear" w:color="auto" w:fill="auto"/>
          </w:tcPr>
          <w:p w14:paraId="498D3E1D"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1080" w:type="dxa"/>
            <w:shd w:val="clear" w:color="auto" w:fill="auto"/>
          </w:tcPr>
          <w:p w14:paraId="4A94B1A1"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18(9.37)</w:t>
            </w:r>
          </w:p>
        </w:tc>
        <w:tc>
          <w:tcPr>
            <w:tcW w:w="1170" w:type="dxa"/>
            <w:vMerge w:val="restart"/>
          </w:tcPr>
          <w:p w14:paraId="456F5830"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Value: 146.483</w:t>
            </w:r>
          </w:p>
          <w:p w14:paraId="5B96F616"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P-Value: 0.000</w:t>
            </w:r>
          </w:p>
        </w:tc>
        <w:tc>
          <w:tcPr>
            <w:tcW w:w="1080" w:type="dxa"/>
            <w:vMerge w:val="restart"/>
          </w:tcPr>
          <w:p w14:paraId="496BA33A"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Value: 0.670</w:t>
            </w:r>
          </w:p>
        </w:tc>
      </w:tr>
      <w:tr w:rsidR="00B95AED" w:rsidRPr="00B95AED" w14:paraId="31BF8E4D" w14:textId="77777777" w:rsidTr="00B91378">
        <w:trPr>
          <w:cantSplit/>
          <w:trHeight w:val="20"/>
          <w:jc w:val="center"/>
        </w:trPr>
        <w:tc>
          <w:tcPr>
            <w:tcW w:w="535" w:type="dxa"/>
            <w:vMerge/>
            <w:shd w:val="clear" w:color="auto" w:fill="auto"/>
          </w:tcPr>
          <w:p w14:paraId="5DBDA04C"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shd w:val="clear" w:color="auto" w:fill="auto"/>
          </w:tcPr>
          <w:p w14:paraId="4EBB7BB8"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56 To 60</w:t>
            </w:r>
          </w:p>
        </w:tc>
        <w:tc>
          <w:tcPr>
            <w:tcW w:w="810" w:type="dxa"/>
            <w:shd w:val="clear" w:color="auto" w:fill="auto"/>
          </w:tcPr>
          <w:p w14:paraId="09862235"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79DAEEFE"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17</w:t>
            </w:r>
          </w:p>
        </w:tc>
        <w:tc>
          <w:tcPr>
            <w:tcW w:w="990" w:type="dxa"/>
            <w:shd w:val="clear" w:color="auto" w:fill="auto"/>
          </w:tcPr>
          <w:p w14:paraId="5F0F78C3"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13</w:t>
            </w:r>
          </w:p>
        </w:tc>
        <w:tc>
          <w:tcPr>
            <w:tcW w:w="990" w:type="dxa"/>
            <w:shd w:val="clear" w:color="auto" w:fill="auto"/>
          </w:tcPr>
          <w:p w14:paraId="6F98BFA8"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4</w:t>
            </w:r>
          </w:p>
        </w:tc>
        <w:tc>
          <w:tcPr>
            <w:tcW w:w="900" w:type="dxa"/>
            <w:shd w:val="clear" w:color="auto" w:fill="auto"/>
          </w:tcPr>
          <w:p w14:paraId="51FD82AC"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1080" w:type="dxa"/>
            <w:shd w:val="clear" w:color="auto" w:fill="auto"/>
          </w:tcPr>
          <w:p w14:paraId="058AD708"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34(17.71)</w:t>
            </w:r>
          </w:p>
        </w:tc>
        <w:tc>
          <w:tcPr>
            <w:tcW w:w="1170" w:type="dxa"/>
            <w:vMerge/>
          </w:tcPr>
          <w:p w14:paraId="3A67F984"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41DC0BDA"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4BAE3532" w14:textId="77777777" w:rsidTr="00B91378">
        <w:trPr>
          <w:cantSplit/>
          <w:trHeight w:val="20"/>
          <w:jc w:val="center"/>
        </w:trPr>
        <w:tc>
          <w:tcPr>
            <w:tcW w:w="535" w:type="dxa"/>
            <w:vMerge/>
            <w:shd w:val="clear" w:color="auto" w:fill="auto"/>
          </w:tcPr>
          <w:p w14:paraId="1CC2ED3A"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shd w:val="clear" w:color="auto" w:fill="auto"/>
          </w:tcPr>
          <w:p w14:paraId="7D1387F5"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61 To 65</w:t>
            </w:r>
          </w:p>
        </w:tc>
        <w:tc>
          <w:tcPr>
            <w:tcW w:w="810" w:type="dxa"/>
            <w:shd w:val="clear" w:color="auto" w:fill="auto"/>
          </w:tcPr>
          <w:p w14:paraId="7153C38D"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3581FAAC"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4</w:t>
            </w:r>
          </w:p>
        </w:tc>
        <w:tc>
          <w:tcPr>
            <w:tcW w:w="990" w:type="dxa"/>
            <w:shd w:val="clear" w:color="auto" w:fill="auto"/>
          </w:tcPr>
          <w:p w14:paraId="567A7B77"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26</w:t>
            </w:r>
          </w:p>
        </w:tc>
        <w:tc>
          <w:tcPr>
            <w:tcW w:w="990" w:type="dxa"/>
            <w:shd w:val="clear" w:color="auto" w:fill="auto"/>
          </w:tcPr>
          <w:p w14:paraId="33DF5C0C"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10</w:t>
            </w:r>
          </w:p>
        </w:tc>
        <w:tc>
          <w:tcPr>
            <w:tcW w:w="900" w:type="dxa"/>
            <w:shd w:val="clear" w:color="auto" w:fill="auto"/>
          </w:tcPr>
          <w:p w14:paraId="1ADB0DB5"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1080" w:type="dxa"/>
            <w:shd w:val="clear" w:color="auto" w:fill="auto"/>
          </w:tcPr>
          <w:p w14:paraId="60A987F5"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40(20.83)</w:t>
            </w:r>
          </w:p>
        </w:tc>
        <w:tc>
          <w:tcPr>
            <w:tcW w:w="1170" w:type="dxa"/>
            <w:vMerge/>
          </w:tcPr>
          <w:p w14:paraId="62D1AC7A"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20D2A26F"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63D53607" w14:textId="77777777" w:rsidTr="00B91378">
        <w:trPr>
          <w:cantSplit/>
          <w:trHeight w:val="20"/>
          <w:jc w:val="center"/>
        </w:trPr>
        <w:tc>
          <w:tcPr>
            <w:tcW w:w="535" w:type="dxa"/>
            <w:vMerge/>
            <w:shd w:val="clear" w:color="auto" w:fill="auto"/>
          </w:tcPr>
          <w:p w14:paraId="753B93D5"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shd w:val="clear" w:color="auto" w:fill="auto"/>
          </w:tcPr>
          <w:p w14:paraId="09A335F6" w14:textId="77777777" w:rsidR="00B95AED" w:rsidRPr="00B95AED" w:rsidRDefault="00B95AED" w:rsidP="008D17B8">
            <w:pPr>
              <w:spacing w:after="0" w:line="320" w:lineRule="atLeast"/>
              <w:ind w:left="60" w:right="60"/>
              <w:rPr>
                <w:rFonts w:cstheme="minorHAnsi"/>
                <w:bCs/>
                <w:color w:val="000000" w:themeColor="text1"/>
                <w:sz w:val="20"/>
                <w:szCs w:val="20"/>
              </w:rPr>
            </w:pPr>
            <w:r w:rsidRPr="00B95AED">
              <w:rPr>
                <w:rFonts w:cstheme="minorHAnsi"/>
                <w:bCs/>
                <w:color w:val="000000" w:themeColor="text1"/>
                <w:sz w:val="20"/>
                <w:szCs w:val="20"/>
              </w:rPr>
              <w:t>66 To 70</w:t>
            </w:r>
          </w:p>
        </w:tc>
        <w:tc>
          <w:tcPr>
            <w:tcW w:w="810" w:type="dxa"/>
            <w:shd w:val="clear" w:color="auto" w:fill="auto"/>
          </w:tcPr>
          <w:p w14:paraId="5559E147" w14:textId="77777777" w:rsidR="00B95AED" w:rsidRPr="00B95AED" w:rsidRDefault="00B95AED" w:rsidP="008D17B8">
            <w:pPr>
              <w:spacing w:after="0" w:line="320" w:lineRule="atLeast"/>
              <w:ind w:left="60" w:right="60"/>
              <w:jc w:val="right"/>
              <w:rPr>
                <w:rFonts w:cstheme="minorHAnsi"/>
                <w:bCs/>
                <w:color w:val="000000" w:themeColor="text1"/>
                <w:sz w:val="20"/>
                <w:szCs w:val="20"/>
              </w:rPr>
            </w:pPr>
            <w:r w:rsidRPr="00B95AED">
              <w:rPr>
                <w:rFonts w:cstheme="minorHAnsi"/>
                <w:bCs/>
                <w:color w:val="000000" w:themeColor="text1"/>
                <w:sz w:val="20"/>
                <w:szCs w:val="20"/>
              </w:rPr>
              <w:t>0</w:t>
            </w:r>
          </w:p>
        </w:tc>
        <w:tc>
          <w:tcPr>
            <w:tcW w:w="990" w:type="dxa"/>
            <w:shd w:val="clear" w:color="auto" w:fill="auto"/>
          </w:tcPr>
          <w:p w14:paraId="7424427F" w14:textId="77777777" w:rsidR="00B95AED" w:rsidRPr="00B95AED" w:rsidRDefault="00B95AED" w:rsidP="008D17B8">
            <w:pPr>
              <w:spacing w:after="0" w:line="320" w:lineRule="atLeast"/>
              <w:ind w:left="60" w:right="60"/>
              <w:jc w:val="right"/>
              <w:rPr>
                <w:rFonts w:cstheme="minorHAnsi"/>
                <w:bCs/>
                <w:color w:val="000000" w:themeColor="text1"/>
                <w:sz w:val="20"/>
                <w:szCs w:val="20"/>
              </w:rPr>
            </w:pPr>
            <w:r w:rsidRPr="00B95AED">
              <w:rPr>
                <w:rFonts w:cstheme="minorHAnsi"/>
                <w:bCs/>
                <w:color w:val="000000" w:themeColor="text1"/>
                <w:sz w:val="20"/>
                <w:szCs w:val="20"/>
              </w:rPr>
              <w:t>3</w:t>
            </w:r>
          </w:p>
        </w:tc>
        <w:tc>
          <w:tcPr>
            <w:tcW w:w="990" w:type="dxa"/>
            <w:shd w:val="clear" w:color="auto" w:fill="auto"/>
          </w:tcPr>
          <w:p w14:paraId="2E17FCF2"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22</w:t>
            </w:r>
          </w:p>
        </w:tc>
        <w:tc>
          <w:tcPr>
            <w:tcW w:w="990" w:type="dxa"/>
            <w:shd w:val="clear" w:color="auto" w:fill="auto"/>
          </w:tcPr>
          <w:p w14:paraId="694F9EA9" w14:textId="77777777" w:rsidR="00B95AED" w:rsidRPr="00B95AED" w:rsidRDefault="00B95AED" w:rsidP="008D17B8">
            <w:pPr>
              <w:spacing w:after="0" w:line="320" w:lineRule="atLeast"/>
              <w:ind w:left="60" w:right="60"/>
              <w:jc w:val="right"/>
              <w:rPr>
                <w:rFonts w:cstheme="minorHAnsi"/>
                <w:bCs/>
                <w:color w:val="000000" w:themeColor="text1"/>
                <w:sz w:val="20"/>
                <w:szCs w:val="20"/>
              </w:rPr>
            </w:pPr>
            <w:r w:rsidRPr="00B95AED">
              <w:rPr>
                <w:rFonts w:cstheme="minorHAnsi"/>
                <w:bCs/>
                <w:color w:val="000000" w:themeColor="text1"/>
                <w:sz w:val="20"/>
                <w:szCs w:val="20"/>
              </w:rPr>
              <w:t>23</w:t>
            </w:r>
          </w:p>
        </w:tc>
        <w:tc>
          <w:tcPr>
            <w:tcW w:w="900" w:type="dxa"/>
            <w:shd w:val="clear" w:color="auto" w:fill="auto"/>
          </w:tcPr>
          <w:p w14:paraId="2E86B5ED" w14:textId="77777777" w:rsidR="00B95AED" w:rsidRPr="00B95AED" w:rsidRDefault="00B95AED" w:rsidP="008D17B8">
            <w:pPr>
              <w:spacing w:after="0" w:line="320" w:lineRule="atLeast"/>
              <w:ind w:left="60" w:right="60"/>
              <w:jc w:val="right"/>
              <w:rPr>
                <w:rFonts w:cstheme="minorHAnsi"/>
                <w:bCs/>
                <w:color w:val="000000" w:themeColor="text1"/>
                <w:sz w:val="20"/>
                <w:szCs w:val="20"/>
              </w:rPr>
            </w:pPr>
            <w:r w:rsidRPr="00B95AED">
              <w:rPr>
                <w:rFonts w:cstheme="minorHAnsi"/>
                <w:bCs/>
                <w:color w:val="000000" w:themeColor="text1"/>
                <w:sz w:val="20"/>
                <w:szCs w:val="20"/>
              </w:rPr>
              <w:t>1</w:t>
            </w:r>
          </w:p>
        </w:tc>
        <w:tc>
          <w:tcPr>
            <w:tcW w:w="1080" w:type="dxa"/>
            <w:shd w:val="clear" w:color="auto" w:fill="auto"/>
          </w:tcPr>
          <w:p w14:paraId="00FE1A98" w14:textId="77777777" w:rsidR="00B95AED" w:rsidRPr="00B95AED" w:rsidRDefault="00B95AED" w:rsidP="008D17B8">
            <w:pPr>
              <w:spacing w:after="0" w:line="320" w:lineRule="atLeast"/>
              <w:ind w:left="60" w:right="60"/>
              <w:jc w:val="right"/>
              <w:rPr>
                <w:rFonts w:cstheme="minorHAnsi"/>
                <w:bCs/>
                <w:color w:val="000000" w:themeColor="text1"/>
                <w:sz w:val="20"/>
                <w:szCs w:val="20"/>
              </w:rPr>
            </w:pPr>
            <w:r w:rsidRPr="00B95AED">
              <w:rPr>
                <w:rFonts w:cstheme="minorHAnsi"/>
                <w:bCs/>
                <w:color w:val="000000" w:themeColor="text1"/>
                <w:sz w:val="20"/>
                <w:szCs w:val="20"/>
              </w:rPr>
              <w:t>49(25.52)</w:t>
            </w:r>
          </w:p>
        </w:tc>
        <w:tc>
          <w:tcPr>
            <w:tcW w:w="1170" w:type="dxa"/>
            <w:vMerge/>
          </w:tcPr>
          <w:p w14:paraId="2F4EF65D" w14:textId="77777777" w:rsidR="00B95AED" w:rsidRPr="00B95AED" w:rsidRDefault="00B95AED" w:rsidP="008D17B8">
            <w:pPr>
              <w:spacing w:after="0" w:line="320" w:lineRule="atLeast"/>
              <w:ind w:left="60" w:right="60"/>
              <w:jc w:val="center"/>
              <w:rPr>
                <w:rFonts w:cstheme="minorHAnsi"/>
                <w:bCs/>
                <w:color w:val="000000" w:themeColor="text1"/>
                <w:sz w:val="20"/>
                <w:szCs w:val="20"/>
              </w:rPr>
            </w:pPr>
          </w:p>
        </w:tc>
        <w:tc>
          <w:tcPr>
            <w:tcW w:w="1080" w:type="dxa"/>
            <w:vMerge/>
          </w:tcPr>
          <w:p w14:paraId="034E09A8" w14:textId="77777777" w:rsidR="00B95AED" w:rsidRPr="00B95AED" w:rsidRDefault="00B95AED" w:rsidP="008D17B8">
            <w:pPr>
              <w:spacing w:after="0" w:line="320" w:lineRule="atLeast"/>
              <w:ind w:left="60" w:right="60"/>
              <w:jc w:val="center"/>
              <w:rPr>
                <w:rFonts w:cstheme="minorHAnsi"/>
                <w:bCs/>
                <w:color w:val="000000" w:themeColor="text1"/>
                <w:sz w:val="20"/>
                <w:szCs w:val="20"/>
              </w:rPr>
            </w:pPr>
          </w:p>
        </w:tc>
      </w:tr>
      <w:tr w:rsidR="00B95AED" w:rsidRPr="00B95AED" w14:paraId="2EC73FC5" w14:textId="77777777" w:rsidTr="00B91378">
        <w:trPr>
          <w:cantSplit/>
          <w:trHeight w:val="20"/>
          <w:jc w:val="center"/>
        </w:trPr>
        <w:tc>
          <w:tcPr>
            <w:tcW w:w="535" w:type="dxa"/>
            <w:vMerge/>
            <w:shd w:val="clear" w:color="auto" w:fill="auto"/>
          </w:tcPr>
          <w:p w14:paraId="05869163"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shd w:val="clear" w:color="auto" w:fill="auto"/>
          </w:tcPr>
          <w:p w14:paraId="168445CE"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71 To 75</w:t>
            </w:r>
          </w:p>
        </w:tc>
        <w:tc>
          <w:tcPr>
            <w:tcW w:w="810" w:type="dxa"/>
            <w:shd w:val="clear" w:color="auto" w:fill="auto"/>
          </w:tcPr>
          <w:p w14:paraId="6B76A435"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4186842F"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w:t>
            </w:r>
          </w:p>
        </w:tc>
        <w:tc>
          <w:tcPr>
            <w:tcW w:w="990" w:type="dxa"/>
            <w:shd w:val="clear" w:color="auto" w:fill="auto"/>
          </w:tcPr>
          <w:p w14:paraId="6089CD86"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3</w:t>
            </w:r>
          </w:p>
        </w:tc>
        <w:tc>
          <w:tcPr>
            <w:tcW w:w="990" w:type="dxa"/>
            <w:shd w:val="clear" w:color="auto" w:fill="auto"/>
          </w:tcPr>
          <w:p w14:paraId="219E6E57"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22</w:t>
            </w:r>
          </w:p>
        </w:tc>
        <w:tc>
          <w:tcPr>
            <w:tcW w:w="900" w:type="dxa"/>
            <w:shd w:val="clear" w:color="auto" w:fill="auto"/>
          </w:tcPr>
          <w:p w14:paraId="55FBBF38"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6</w:t>
            </w:r>
          </w:p>
        </w:tc>
        <w:tc>
          <w:tcPr>
            <w:tcW w:w="1080" w:type="dxa"/>
            <w:shd w:val="clear" w:color="auto" w:fill="auto"/>
          </w:tcPr>
          <w:p w14:paraId="35E3A95A"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32(16.67)</w:t>
            </w:r>
          </w:p>
        </w:tc>
        <w:tc>
          <w:tcPr>
            <w:tcW w:w="1170" w:type="dxa"/>
            <w:vMerge/>
          </w:tcPr>
          <w:p w14:paraId="79E4ABA5"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5499E3DC"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2C7EBEBE" w14:textId="77777777" w:rsidTr="00B91378">
        <w:trPr>
          <w:cantSplit/>
          <w:trHeight w:val="20"/>
          <w:jc w:val="center"/>
        </w:trPr>
        <w:tc>
          <w:tcPr>
            <w:tcW w:w="535" w:type="dxa"/>
            <w:vMerge/>
            <w:shd w:val="clear" w:color="auto" w:fill="auto"/>
          </w:tcPr>
          <w:p w14:paraId="2CE64208"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shd w:val="clear" w:color="auto" w:fill="auto"/>
          </w:tcPr>
          <w:p w14:paraId="1880021A" w14:textId="77777777" w:rsidR="00B95AED" w:rsidRPr="00B95AED" w:rsidRDefault="00B95AED" w:rsidP="008D17B8">
            <w:pPr>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76 To 80</w:t>
            </w:r>
          </w:p>
        </w:tc>
        <w:tc>
          <w:tcPr>
            <w:tcW w:w="810" w:type="dxa"/>
            <w:shd w:val="clear" w:color="auto" w:fill="auto"/>
          </w:tcPr>
          <w:p w14:paraId="01DD6715"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25C8369F"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shd w:val="clear" w:color="auto" w:fill="auto"/>
          </w:tcPr>
          <w:p w14:paraId="0CE428C4"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w:t>
            </w:r>
          </w:p>
        </w:tc>
        <w:tc>
          <w:tcPr>
            <w:tcW w:w="990" w:type="dxa"/>
            <w:shd w:val="clear" w:color="auto" w:fill="auto"/>
          </w:tcPr>
          <w:p w14:paraId="27FC97C2"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9</w:t>
            </w:r>
          </w:p>
        </w:tc>
        <w:tc>
          <w:tcPr>
            <w:tcW w:w="900" w:type="dxa"/>
            <w:shd w:val="clear" w:color="auto" w:fill="auto"/>
          </w:tcPr>
          <w:p w14:paraId="2056BBEE"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8</w:t>
            </w:r>
          </w:p>
        </w:tc>
        <w:tc>
          <w:tcPr>
            <w:tcW w:w="1080" w:type="dxa"/>
            <w:shd w:val="clear" w:color="auto" w:fill="auto"/>
          </w:tcPr>
          <w:p w14:paraId="3A7453C1"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19(9.89)</w:t>
            </w:r>
          </w:p>
        </w:tc>
        <w:tc>
          <w:tcPr>
            <w:tcW w:w="1170" w:type="dxa"/>
            <w:vMerge/>
          </w:tcPr>
          <w:p w14:paraId="1BBDF918"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6209C95C"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29757FE0" w14:textId="77777777" w:rsidTr="00B91378">
        <w:trPr>
          <w:cantSplit/>
          <w:trHeight w:val="20"/>
          <w:jc w:val="center"/>
        </w:trPr>
        <w:tc>
          <w:tcPr>
            <w:tcW w:w="535" w:type="dxa"/>
            <w:shd w:val="clear" w:color="auto" w:fill="auto"/>
          </w:tcPr>
          <w:p w14:paraId="15683D38" w14:textId="77777777" w:rsidR="00B95AED" w:rsidRPr="00B95AED" w:rsidRDefault="00B95AED" w:rsidP="008D17B8">
            <w:pPr>
              <w:widowControl w:val="0"/>
              <w:autoSpaceDE w:val="0"/>
              <w:autoSpaceDN w:val="0"/>
              <w:adjustRightInd w:val="0"/>
              <w:spacing w:after="0" w:line="240" w:lineRule="auto"/>
              <w:ind w:left="60" w:right="60"/>
              <w:jc w:val="center"/>
              <w:rPr>
                <w:rFonts w:cstheme="minorHAnsi"/>
                <w:color w:val="000000" w:themeColor="text1"/>
                <w:sz w:val="20"/>
                <w:szCs w:val="20"/>
              </w:rPr>
            </w:pPr>
          </w:p>
        </w:tc>
        <w:tc>
          <w:tcPr>
            <w:tcW w:w="1080" w:type="dxa"/>
            <w:shd w:val="clear" w:color="auto" w:fill="auto"/>
          </w:tcPr>
          <w:p w14:paraId="58C1D9BD" w14:textId="24E75704" w:rsidR="00B95AED" w:rsidRPr="00B95AED" w:rsidRDefault="00B95AED" w:rsidP="00B91378">
            <w:pPr>
              <w:widowControl w:val="0"/>
              <w:autoSpaceDE w:val="0"/>
              <w:autoSpaceDN w:val="0"/>
              <w:adjustRightInd w:val="0"/>
              <w:spacing w:after="0" w:line="240" w:lineRule="auto"/>
              <w:ind w:left="60" w:right="-13"/>
              <w:rPr>
                <w:rFonts w:cstheme="minorHAnsi"/>
                <w:color w:val="000000" w:themeColor="text1"/>
                <w:sz w:val="20"/>
                <w:szCs w:val="20"/>
              </w:rPr>
            </w:pPr>
            <w:r w:rsidRPr="00B95AED">
              <w:rPr>
                <w:rFonts w:cstheme="minorHAnsi"/>
                <w:color w:val="000000" w:themeColor="text1"/>
                <w:sz w:val="20"/>
                <w:szCs w:val="20"/>
              </w:rPr>
              <w:t>Total</w:t>
            </w:r>
            <w:r w:rsidR="00B91378">
              <w:rPr>
                <w:rFonts w:cstheme="minorHAnsi"/>
                <w:color w:val="000000" w:themeColor="text1"/>
                <w:sz w:val="20"/>
                <w:szCs w:val="20"/>
              </w:rPr>
              <w:t xml:space="preserve"> </w:t>
            </w:r>
            <w:r w:rsidRPr="00B95AED">
              <w:rPr>
                <w:rFonts w:cstheme="minorHAnsi"/>
                <w:color w:val="000000" w:themeColor="text1"/>
                <w:sz w:val="20"/>
                <w:szCs w:val="20"/>
              </w:rPr>
              <w:t>N (%)</w:t>
            </w:r>
          </w:p>
        </w:tc>
        <w:tc>
          <w:tcPr>
            <w:tcW w:w="810" w:type="dxa"/>
            <w:shd w:val="clear" w:color="auto" w:fill="auto"/>
          </w:tcPr>
          <w:p w14:paraId="1FCB0519" w14:textId="77777777" w:rsidR="00B95AED" w:rsidRPr="00B95AED" w:rsidRDefault="00B95AED" w:rsidP="00B91378">
            <w:pPr>
              <w:spacing w:after="0" w:line="240" w:lineRule="auto"/>
              <w:ind w:left="-93" w:right="60"/>
              <w:jc w:val="right"/>
              <w:rPr>
                <w:rFonts w:cstheme="minorHAnsi"/>
                <w:color w:val="000000" w:themeColor="text1"/>
                <w:sz w:val="20"/>
                <w:szCs w:val="20"/>
              </w:rPr>
            </w:pPr>
            <w:r w:rsidRPr="00B95AED">
              <w:rPr>
                <w:rFonts w:cstheme="minorHAnsi"/>
                <w:color w:val="000000" w:themeColor="text1"/>
                <w:sz w:val="20"/>
                <w:szCs w:val="20"/>
              </w:rPr>
              <w:t>2 (1.04)</w:t>
            </w:r>
          </w:p>
        </w:tc>
        <w:tc>
          <w:tcPr>
            <w:tcW w:w="990" w:type="dxa"/>
            <w:shd w:val="clear" w:color="auto" w:fill="auto"/>
          </w:tcPr>
          <w:p w14:paraId="4A8F56F7"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34 (17.71)</w:t>
            </w:r>
          </w:p>
        </w:tc>
        <w:tc>
          <w:tcPr>
            <w:tcW w:w="990" w:type="dxa"/>
            <w:shd w:val="clear" w:color="auto" w:fill="auto"/>
          </w:tcPr>
          <w:p w14:paraId="7808151F"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71 (36.98)</w:t>
            </w:r>
          </w:p>
        </w:tc>
        <w:tc>
          <w:tcPr>
            <w:tcW w:w="990" w:type="dxa"/>
            <w:shd w:val="clear" w:color="auto" w:fill="auto"/>
          </w:tcPr>
          <w:p w14:paraId="691F4CD5"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70 (36.46)</w:t>
            </w:r>
          </w:p>
        </w:tc>
        <w:tc>
          <w:tcPr>
            <w:tcW w:w="900" w:type="dxa"/>
            <w:shd w:val="clear" w:color="auto" w:fill="auto"/>
          </w:tcPr>
          <w:p w14:paraId="70D369E8"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15 (7.81)</w:t>
            </w:r>
          </w:p>
        </w:tc>
        <w:tc>
          <w:tcPr>
            <w:tcW w:w="1080" w:type="dxa"/>
            <w:shd w:val="clear" w:color="auto" w:fill="auto"/>
          </w:tcPr>
          <w:p w14:paraId="7992E403"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192(100)</w:t>
            </w:r>
          </w:p>
        </w:tc>
        <w:tc>
          <w:tcPr>
            <w:tcW w:w="1170" w:type="dxa"/>
            <w:vMerge/>
          </w:tcPr>
          <w:p w14:paraId="13423550" w14:textId="77777777" w:rsidR="00B95AED" w:rsidRPr="00B95AED" w:rsidRDefault="00B95AED" w:rsidP="008D17B8">
            <w:pPr>
              <w:spacing w:after="0" w:line="240" w:lineRule="auto"/>
              <w:ind w:left="60" w:right="60"/>
              <w:jc w:val="center"/>
              <w:rPr>
                <w:rFonts w:cstheme="minorHAnsi"/>
                <w:color w:val="000000" w:themeColor="text1"/>
                <w:sz w:val="20"/>
                <w:szCs w:val="20"/>
              </w:rPr>
            </w:pPr>
          </w:p>
        </w:tc>
        <w:tc>
          <w:tcPr>
            <w:tcW w:w="1080" w:type="dxa"/>
            <w:vMerge/>
          </w:tcPr>
          <w:p w14:paraId="6E03F907" w14:textId="77777777" w:rsidR="00B95AED" w:rsidRPr="00B95AED" w:rsidRDefault="00B95AED" w:rsidP="008D17B8">
            <w:pPr>
              <w:spacing w:after="0" w:line="240" w:lineRule="auto"/>
              <w:ind w:left="60" w:right="60"/>
              <w:jc w:val="center"/>
              <w:rPr>
                <w:rFonts w:cstheme="minorHAnsi"/>
                <w:color w:val="000000" w:themeColor="text1"/>
                <w:sz w:val="20"/>
                <w:szCs w:val="20"/>
              </w:rPr>
            </w:pPr>
          </w:p>
        </w:tc>
      </w:tr>
      <w:tr w:rsidR="00B95AED" w:rsidRPr="00B95AED" w14:paraId="27910C8C" w14:textId="77777777" w:rsidTr="00B91378">
        <w:trPr>
          <w:cantSplit/>
          <w:trHeight w:val="20"/>
          <w:jc w:val="center"/>
        </w:trPr>
        <w:tc>
          <w:tcPr>
            <w:tcW w:w="535" w:type="dxa"/>
            <w:vMerge w:val="restart"/>
          </w:tcPr>
          <w:p w14:paraId="1BB77172" w14:textId="77777777" w:rsidR="00B95AED" w:rsidRPr="00B95AED" w:rsidRDefault="00B95AED" w:rsidP="00141298">
            <w:pPr>
              <w:widowControl w:val="0"/>
              <w:autoSpaceDE w:val="0"/>
              <w:autoSpaceDN w:val="0"/>
              <w:adjustRightInd w:val="0"/>
              <w:spacing w:after="0" w:line="320" w:lineRule="atLeast"/>
              <w:ind w:right="60"/>
              <w:jc w:val="center"/>
              <w:rPr>
                <w:rFonts w:cstheme="minorHAnsi"/>
                <w:color w:val="000000" w:themeColor="text1"/>
                <w:sz w:val="20"/>
                <w:szCs w:val="20"/>
              </w:rPr>
            </w:pPr>
            <w:r w:rsidRPr="00B95AED">
              <w:rPr>
                <w:rFonts w:cstheme="minorHAnsi"/>
                <w:color w:val="000000" w:themeColor="text1"/>
                <w:sz w:val="20"/>
                <w:szCs w:val="20"/>
              </w:rPr>
              <w:lastRenderedPageBreak/>
              <w:t>Right</w:t>
            </w:r>
          </w:p>
        </w:tc>
        <w:tc>
          <w:tcPr>
            <w:tcW w:w="1080" w:type="dxa"/>
          </w:tcPr>
          <w:p w14:paraId="6787D750" w14:textId="77777777" w:rsidR="00B95AED" w:rsidRPr="00B95AED" w:rsidRDefault="00B95AED" w:rsidP="008D17B8">
            <w:pPr>
              <w:widowControl w:val="0"/>
              <w:autoSpaceDE w:val="0"/>
              <w:autoSpaceDN w:val="0"/>
              <w:adjustRightInd w:val="0"/>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M</w:t>
            </w:r>
          </w:p>
        </w:tc>
        <w:tc>
          <w:tcPr>
            <w:tcW w:w="810" w:type="dxa"/>
          </w:tcPr>
          <w:p w14:paraId="615BFB0B"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w:t>
            </w:r>
          </w:p>
        </w:tc>
        <w:tc>
          <w:tcPr>
            <w:tcW w:w="990" w:type="dxa"/>
          </w:tcPr>
          <w:p w14:paraId="20BAACD0"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23</w:t>
            </w:r>
          </w:p>
        </w:tc>
        <w:tc>
          <w:tcPr>
            <w:tcW w:w="990" w:type="dxa"/>
          </w:tcPr>
          <w:p w14:paraId="34847CE8"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58</w:t>
            </w:r>
          </w:p>
        </w:tc>
        <w:tc>
          <w:tcPr>
            <w:tcW w:w="990" w:type="dxa"/>
          </w:tcPr>
          <w:p w14:paraId="59B8A5D9"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37</w:t>
            </w:r>
          </w:p>
        </w:tc>
        <w:tc>
          <w:tcPr>
            <w:tcW w:w="900" w:type="dxa"/>
          </w:tcPr>
          <w:p w14:paraId="1BBF604F"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9</w:t>
            </w:r>
          </w:p>
        </w:tc>
        <w:tc>
          <w:tcPr>
            <w:tcW w:w="1080" w:type="dxa"/>
          </w:tcPr>
          <w:p w14:paraId="17DE6E73"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129(67.19)</w:t>
            </w:r>
          </w:p>
        </w:tc>
        <w:tc>
          <w:tcPr>
            <w:tcW w:w="1170" w:type="dxa"/>
            <w:vMerge w:val="restart"/>
          </w:tcPr>
          <w:p w14:paraId="4B3FEAA6"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Value: 3.961</w:t>
            </w:r>
          </w:p>
          <w:p w14:paraId="6E19B6F9"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Value: 0.411</w:t>
            </w:r>
          </w:p>
        </w:tc>
        <w:tc>
          <w:tcPr>
            <w:tcW w:w="1080" w:type="dxa"/>
            <w:vMerge w:val="restart"/>
          </w:tcPr>
          <w:p w14:paraId="6B8D5209"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Value: 0.019</w:t>
            </w:r>
          </w:p>
        </w:tc>
      </w:tr>
      <w:tr w:rsidR="00B95AED" w:rsidRPr="00B95AED" w14:paraId="75296427" w14:textId="77777777" w:rsidTr="00B91378">
        <w:trPr>
          <w:cantSplit/>
          <w:trHeight w:val="20"/>
          <w:jc w:val="center"/>
        </w:trPr>
        <w:tc>
          <w:tcPr>
            <w:tcW w:w="535" w:type="dxa"/>
            <w:vMerge/>
          </w:tcPr>
          <w:p w14:paraId="029B1248" w14:textId="77777777" w:rsidR="00B95AED" w:rsidRPr="00B95AED" w:rsidRDefault="00B95AED" w:rsidP="008D17B8">
            <w:pPr>
              <w:widowControl w:val="0"/>
              <w:autoSpaceDE w:val="0"/>
              <w:autoSpaceDN w:val="0"/>
              <w:adjustRightInd w:val="0"/>
              <w:spacing w:after="0" w:line="320" w:lineRule="atLeast"/>
              <w:ind w:left="60" w:right="60"/>
              <w:jc w:val="center"/>
              <w:rPr>
                <w:rFonts w:cstheme="minorHAnsi"/>
                <w:color w:val="000000" w:themeColor="text1"/>
                <w:sz w:val="20"/>
                <w:szCs w:val="20"/>
              </w:rPr>
            </w:pPr>
          </w:p>
        </w:tc>
        <w:tc>
          <w:tcPr>
            <w:tcW w:w="1080" w:type="dxa"/>
          </w:tcPr>
          <w:p w14:paraId="12190935" w14:textId="77777777" w:rsidR="00B95AED" w:rsidRPr="00B95AED" w:rsidRDefault="00B95AED" w:rsidP="008D17B8">
            <w:pPr>
              <w:widowControl w:val="0"/>
              <w:autoSpaceDE w:val="0"/>
              <w:autoSpaceDN w:val="0"/>
              <w:adjustRightInd w:val="0"/>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F</w:t>
            </w:r>
          </w:p>
        </w:tc>
        <w:tc>
          <w:tcPr>
            <w:tcW w:w="810" w:type="dxa"/>
          </w:tcPr>
          <w:p w14:paraId="658300CF"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w:t>
            </w:r>
          </w:p>
        </w:tc>
        <w:tc>
          <w:tcPr>
            <w:tcW w:w="990" w:type="dxa"/>
          </w:tcPr>
          <w:p w14:paraId="6DC2EBC6"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15</w:t>
            </w:r>
          </w:p>
        </w:tc>
        <w:tc>
          <w:tcPr>
            <w:tcW w:w="990" w:type="dxa"/>
          </w:tcPr>
          <w:p w14:paraId="69DBFE51"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19</w:t>
            </w:r>
          </w:p>
        </w:tc>
        <w:tc>
          <w:tcPr>
            <w:tcW w:w="990" w:type="dxa"/>
          </w:tcPr>
          <w:p w14:paraId="37B85F24"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23</w:t>
            </w:r>
          </w:p>
        </w:tc>
        <w:tc>
          <w:tcPr>
            <w:tcW w:w="900" w:type="dxa"/>
          </w:tcPr>
          <w:p w14:paraId="3726A944"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5</w:t>
            </w:r>
          </w:p>
        </w:tc>
        <w:tc>
          <w:tcPr>
            <w:tcW w:w="1080" w:type="dxa"/>
          </w:tcPr>
          <w:p w14:paraId="61387097"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63(32.81)</w:t>
            </w:r>
          </w:p>
        </w:tc>
        <w:tc>
          <w:tcPr>
            <w:tcW w:w="1170" w:type="dxa"/>
            <w:vMerge/>
          </w:tcPr>
          <w:p w14:paraId="4D44375B"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4D0C8A7B"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29421762" w14:textId="77777777" w:rsidTr="00B91378">
        <w:trPr>
          <w:cantSplit/>
          <w:trHeight w:val="20"/>
          <w:jc w:val="center"/>
        </w:trPr>
        <w:tc>
          <w:tcPr>
            <w:tcW w:w="535" w:type="dxa"/>
            <w:vMerge/>
          </w:tcPr>
          <w:p w14:paraId="4FF41358" w14:textId="77777777" w:rsidR="00B95AED" w:rsidRPr="00B95AED" w:rsidRDefault="00B95AED" w:rsidP="008D17B8">
            <w:pPr>
              <w:widowControl w:val="0"/>
              <w:autoSpaceDE w:val="0"/>
              <w:autoSpaceDN w:val="0"/>
              <w:adjustRightInd w:val="0"/>
              <w:spacing w:after="0" w:line="320" w:lineRule="atLeast"/>
              <w:ind w:left="60" w:right="60"/>
              <w:jc w:val="center"/>
              <w:rPr>
                <w:rFonts w:cstheme="minorHAnsi"/>
                <w:color w:val="000000" w:themeColor="text1"/>
                <w:sz w:val="20"/>
                <w:szCs w:val="20"/>
              </w:rPr>
            </w:pPr>
          </w:p>
        </w:tc>
        <w:tc>
          <w:tcPr>
            <w:tcW w:w="1080" w:type="dxa"/>
          </w:tcPr>
          <w:p w14:paraId="6196F574" w14:textId="77777777" w:rsidR="00B95AED" w:rsidRPr="00B95AED" w:rsidRDefault="00B95AED" w:rsidP="008D17B8">
            <w:pPr>
              <w:spacing w:after="0" w:line="240" w:lineRule="auto"/>
              <w:ind w:left="60" w:right="60"/>
              <w:rPr>
                <w:rFonts w:cstheme="minorHAnsi"/>
                <w:color w:val="000000" w:themeColor="text1"/>
                <w:sz w:val="20"/>
                <w:szCs w:val="20"/>
              </w:rPr>
            </w:pPr>
            <w:r w:rsidRPr="00B95AED">
              <w:rPr>
                <w:rFonts w:cstheme="minorHAnsi"/>
                <w:color w:val="000000" w:themeColor="text1"/>
                <w:sz w:val="20"/>
                <w:szCs w:val="20"/>
              </w:rPr>
              <w:t>Total N (%)</w:t>
            </w:r>
          </w:p>
        </w:tc>
        <w:tc>
          <w:tcPr>
            <w:tcW w:w="810" w:type="dxa"/>
          </w:tcPr>
          <w:p w14:paraId="77533EDA"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3 (1.56)</w:t>
            </w:r>
          </w:p>
        </w:tc>
        <w:tc>
          <w:tcPr>
            <w:tcW w:w="990" w:type="dxa"/>
          </w:tcPr>
          <w:p w14:paraId="4F9F179F"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38 (19.79)</w:t>
            </w:r>
          </w:p>
        </w:tc>
        <w:tc>
          <w:tcPr>
            <w:tcW w:w="990" w:type="dxa"/>
          </w:tcPr>
          <w:p w14:paraId="255A144B"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77 (40.10)</w:t>
            </w:r>
          </w:p>
        </w:tc>
        <w:tc>
          <w:tcPr>
            <w:tcW w:w="990" w:type="dxa"/>
          </w:tcPr>
          <w:p w14:paraId="0BC93972"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60 (31.25)</w:t>
            </w:r>
          </w:p>
        </w:tc>
        <w:tc>
          <w:tcPr>
            <w:tcW w:w="900" w:type="dxa"/>
          </w:tcPr>
          <w:p w14:paraId="41AD86BB" w14:textId="7ADB5DE5" w:rsidR="00B95AED" w:rsidRPr="00B95AED" w:rsidRDefault="00B91378"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14 (</w:t>
            </w:r>
            <w:r w:rsidR="00B95AED" w:rsidRPr="00B95AED">
              <w:rPr>
                <w:rFonts w:cstheme="minorHAnsi"/>
                <w:color w:val="000000" w:themeColor="text1"/>
                <w:sz w:val="20"/>
                <w:szCs w:val="20"/>
              </w:rPr>
              <w:t>7.29)</w:t>
            </w:r>
          </w:p>
        </w:tc>
        <w:tc>
          <w:tcPr>
            <w:tcW w:w="1080" w:type="dxa"/>
          </w:tcPr>
          <w:p w14:paraId="3916963E"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192 (100)</w:t>
            </w:r>
          </w:p>
        </w:tc>
        <w:tc>
          <w:tcPr>
            <w:tcW w:w="1170" w:type="dxa"/>
            <w:vMerge/>
          </w:tcPr>
          <w:p w14:paraId="328E87FD"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c>
          <w:tcPr>
            <w:tcW w:w="1080" w:type="dxa"/>
            <w:vMerge/>
          </w:tcPr>
          <w:p w14:paraId="2103C8FB" w14:textId="77777777" w:rsidR="00B95AED" w:rsidRPr="00B95AED" w:rsidRDefault="00B95AED" w:rsidP="008D17B8">
            <w:pPr>
              <w:spacing w:after="0" w:line="320" w:lineRule="atLeast"/>
              <w:ind w:left="60" w:right="60"/>
              <w:jc w:val="center"/>
              <w:rPr>
                <w:rFonts w:cstheme="minorHAnsi"/>
                <w:color w:val="000000" w:themeColor="text1"/>
                <w:sz w:val="20"/>
                <w:szCs w:val="20"/>
              </w:rPr>
            </w:pPr>
          </w:p>
        </w:tc>
      </w:tr>
      <w:tr w:rsidR="00B95AED" w:rsidRPr="00B95AED" w14:paraId="6E58076F" w14:textId="77777777" w:rsidTr="00B91378">
        <w:trPr>
          <w:cantSplit/>
          <w:trHeight w:val="20"/>
          <w:jc w:val="center"/>
        </w:trPr>
        <w:tc>
          <w:tcPr>
            <w:tcW w:w="535" w:type="dxa"/>
            <w:vMerge w:val="restart"/>
          </w:tcPr>
          <w:p w14:paraId="6787C80A" w14:textId="77777777" w:rsidR="00B95AED" w:rsidRPr="00B95AED" w:rsidRDefault="00B95AED" w:rsidP="008D17B8">
            <w:pPr>
              <w:widowControl w:val="0"/>
              <w:autoSpaceDE w:val="0"/>
              <w:autoSpaceDN w:val="0"/>
              <w:adjustRightInd w:val="0"/>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Left</w:t>
            </w:r>
          </w:p>
        </w:tc>
        <w:tc>
          <w:tcPr>
            <w:tcW w:w="1080" w:type="dxa"/>
          </w:tcPr>
          <w:p w14:paraId="5F1225BC" w14:textId="77777777" w:rsidR="00B95AED" w:rsidRPr="00B95AED" w:rsidRDefault="00B95AED" w:rsidP="008D17B8">
            <w:pPr>
              <w:widowControl w:val="0"/>
              <w:autoSpaceDE w:val="0"/>
              <w:autoSpaceDN w:val="0"/>
              <w:adjustRightInd w:val="0"/>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M</w:t>
            </w:r>
          </w:p>
        </w:tc>
        <w:tc>
          <w:tcPr>
            <w:tcW w:w="810" w:type="dxa"/>
          </w:tcPr>
          <w:p w14:paraId="563E9209"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w:t>
            </w:r>
          </w:p>
        </w:tc>
        <w:tc>
          <w:tcPr>
            <w:tcW w:w="990" w:type="dxa"/>
          </w:tcPr>
          <w:p w14:paraId="39753CF6"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23</w:t>
            </w:r>
          </w:p>
        </w:tc>
        <w:tc>
          <w:tcPr>
            <w:tcW w:w="990" w:type="dxa"/>
          </w:tcPr>
          <w:p w14:paraId="61B06D1A"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51</w:t>
            </w:r>
          </w:p>
        </w:tc>
        <w:tc>
          <w:tcPr>
            <w:tcW w:w="990" w:type="dxa"/>
          </w:tcPr>
          <w:p w14:paraId="48566014"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42</w:t>
            </w:r>
          </w:p>
        </w:tc>
        <w:tc>
          <w:tcPr>
            <w:tcW w:w="900" w:type="dxa"/>
          </w:tcPr>
          <w:p w14:paraId="34B0ACBE"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11</w:t>
            </w:r>
          </w:p>
        </w:tc>
        <w:tc>
          <w:tcPr>
            <w:tcW w:w="1080" w:type="dxa"/>
          </w:tcPr>
          <w:p w14:paraId="78DFC7D1"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129(67.19)</w:t>
            </w:r>
          </w:p>
        </w:tc>
        <w:tc>
          <w:tcPr>
            <w:tcW w:w="1170" w:type="dxa"/>
            <w:vMerge w:val="restart"/>
          </w:tcPr>
          <w:p w14:paraId="3C01921D"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Value: 3.572</w:t>
            </w:r>
          </w:p>
          <w:p w14:paraId="234F3FAC"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P-Value: 0.467</w:t>
            </w:r>
          </w:p>
        </w:tc>
        <w:tc>
          <w:tcPr>
            <w:tcW w:w="1080" w:type="dxa"/>
            <w:vMerge w:val="restart"/>
          </w:tcPr>
          <w:p w14:paraId="324A7ADC" w14:textId="77777777" w:rsidR="00B95AED" w:rsidRPr="00B95AED" w:rsidRDefault="00B95AED" w:rsidP="008D17B8">
            <w:pPr>
              <w:spacing w:after="0" w:line="320" w:lineRule="atLeast"/>
              <w:ind w:left="60" w:right="60"/>
              <w:jc w:val="center"/>
              <w:rPr>
                <w:rFonts w:cstheme="minorHAnsi"/>
                <w:color w:val="000000" w:themeColor="text1"/>
                <w:sz w:val="20"/>
                <w:szCs w:val="20"/>
              </w:rPr>
            </w:pPr>
            <w:r w:rsidRPr="00B95AED">
              <w:rPr>
                <w:rFonts w:cstheme="minorHAnsi"/>
                <w:color w:val="000000" w:themeColor="text1"/>
                <w:sz w:val="20"/>
                <w:szCs w:val="20"/>
              </w:rPr>
              <w:t>Value: 0.058</w:t>
            </w:r>
          </w:p>
        </w:tc>
      </w:tr>
      <w:tr w:rsidR="00B95AED" w:rsidRPr="00B95AED" w14:paraId="6B10B59B" w14:textId="77777777" w:rsidTr="00B91378">
        <w:trPr>
          <w:cantSplit/>
          <w:trHeight w:val="20"/>
          <w:jc w:val="center"/>
        </w:trPr>
        <w:tc>
          <w:tcPr>
            <w:tcW w:w="535" w:type="dxa"/>
            <w:vMerge/>
          </w:tcPr>
          <w:p w14:paraId="42223266" w14:textId="77777777" w:rsidR="00B95AED" w:rsidRPr="00B95AED" w:rsidRDefault="00B95AED" w:rsidP="008D17B8">
            <w:pPr>
              <w:widowControl w:val="0"/>
              <w:autoSpaceDE w:val="0"/>
              <w:autoSpaceDN w:val="0"/>
              <w:adjustRightInd w:val="0"/>
              <w:spacing w:after="0" w:line="320" w:lineRule="atLeast"/>
              <w:ind w:left="60" w:right="60"/>
              <w:jc w:val="center"/>
              <w:rPr>
                <w:rFonts w:cstheme="minorHAnsi"/>
                <w:color w:val="000000" w:themeColor="text1"/>
                <w:sz w:val="20"/>
                <w:szCs w:val="20"/>
              </w:rPr>
            </w:pPr>
          </w:p>
        </w:tc>
        <w:tc>
          <w:tcPr>
            <w:tcW w:w="1080" w:type="dxa"/>
          </w:tcPr>
          <w:p w14:paraId="34F43D4F" w14:textId="77777777" w:rsidR="00B95AED" w:rsidRPr="00B95AED" w:rsidRDefault="00B95AED" w:rsidP="008D17B8">
            <w:pPr>
              <w:widowControl w:val="0"/>
              <w:autoSpaceDE w:val="0"/>
              <w:autoSpaceDN w:val="0"/>
              <w:adjustRightInd w:val="0"/>
              <w:spacing w:after="0" w:line="320" w:lineRule="atLeast"/>
              <w:ind w:left="60" w:right="60"/>
              <w:rPr>
                <w:rFonts w:cstheme="minorHAnsi"/>
                <w:color w:val="000000" w:themeColor="text1"/>
                <w:sz w:val="20"/>
                <w:szCs w:val="20"/>
              </w:rPr>
            </w:pPr>
            <w:r w:rsidRPr="00B95AED">
              <w:rPr>
                <w:rFonts w:cstheme="minorHAnsi"/>
                <w:color w:val="000000" w:themeColor="text1"/>
                <w:sz w:val="20"/>
                <w:szCs w:val="20"/>
              </w:rPr>
              <w:t>F</w:t>
            </w:r>
          </w:p>
        </w:tc>
        <w:tc>
          <w:tcPr>
            <w:tcW w:w="810" w:type="dxa"/>
          </w:tcPr>
          <w:p w14:paraId="18E0D9C4"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0</w:t>
            </w:r>
          </w:p>
        </w:tc>
        <w:tc>
          <w:tcPr>
            <w:tcW w:w="990" w:type="dxa"/>
          </w:tcPr>
          <w:p w14:paraId="050EF46C"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11</w:t>
            </w:r>
          </w:p>
        </w:tc>
        <w:tc>
          <w:tcPr>
            <w:tcW w:w="990" w:type="dxa"/>
          </w:tcPr>
          <w:p w14:paraId="29C379E6"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20</w:t>
            </w:r>
          </w:p>
        </w:tc>
        <w:tc>
          <w:tcPr>
            <w:tcW w:w="990" w:type="dxa"/>
          </w:tcPr>
          <w:p w14:paraId="4B283BE7"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28</w:t>
            </w:r>
          </w:p>
        </w:tc>
        <w:tc>
          <w:tcPr>
            <w:tcW w:w="900" w:type="dxa"/>
          </w:tcPr>
          <w:p w14:paraId="618EF478"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4</w:t>
            </w:r>
          </w:p>
        </w:tc>
        <w:tc>
          <w:tcPr>
            <w:tcW w:w="1080" w:type="dxa"/>
          </w:tcPr>
          <w:p w14:paraId="44457A7B" w14:textId="77777777" w:rsidR="00B95AED" w:rsidRPr="00B95AED" w:rsidRDefault="00B95AED" w:rsidP="008D17B8">
            <w:pPr>
              <w:spacing w:after="0" w:line="320" w:lineRule="atLeast"/>
              <w:ind w:left="60" w:right="60"/>
              <w:jc w:val="right"/>
              <w:rPr>
                <w:rFonts w:cstheme="minorHAnsi"/>
                <w:color w:val="000000" w:themeColor="text1"/>
                <w:sz w:val="20"/>
                <w:szCs w:val="20"/>
              </w:rPr>
            </w:pPr>
            <w:r w:rsidRPr="00B95AED">
              <w:rPr>
                <w:rFonts w:cstheme="minorHAnsi"/>
                <w:color w:val="000000" w:themeColor="text1"/>
                <w:sz w:val="20"/>
                <w:szCs w:val="20"/>
              </w:rPr>
              <w:t>63(32.81)</w:t>
            </w:r>
          </w:p>
        </w:tc>
        <w:tc>
          <w:tcPr>
            <w:tcW w:w="1170" w:type="dxa"/>
            <w:vMerge/>
          </w:tcPr>
          <w:p w14:paraId="3878A730" w14:textId="77777777" w:rsidR="00B95AED" w:rsidRPr="00B95AED" w:rsidRDefault="00B95AED" w:rsidP="008D17B8">
            <w:pPr>
              <w:spacing w:after="0" w:line="320" w:lineRule="atLeast"/>
              <w:ind w:left="60" w:right="60"/>
              <w:jc w:val="right"/>
              <w:rPr>
                <w:rFonts w:cstheme="minorHAnsi"/>
                <w:color w:val="000000" w:themeColor="text1"/>
                <w:sz w:val="20"/>
                <w:szCs w:val="20"/>
              </w:rPr>
            </w:pPr>
          </w:p>
        </w:tc>
        <w:tc>
          <w:tcPr>
            <w:tcW w:w="1080" w:type="dxa"/>
            <w:vMerge/>
          </w:tcPr>
          <w:p w14:paraId="07B2A280" w14:textId="77777777" w:rsidR="00B95AED" w:rsidRPr="00B95AED" w:rsidRDefault="00B95AED" w:rsidP="008D17B8">
            <w:pPr>
              <w:spacing w:after="0" w:line="320" w:lineRule="atLeast"/>
              <w:ind w:left="60" w:right="60"/>
              <w:jc w:val="right"/>
              <w:rPr>
                <w:rFonts w:cstheme="minorHAnsi"/>
                <w:color w:val="000000" w:themeColor="text1"/>
                <w:sz w:val="20"/>
                <w:szCs w:val="20"/>
              </w:rPr>
            </w:pPr>
          </w:p>
        </w:tc>
      </w:tr>
      <w:tr w:rsidR="00B95AED" w:rsidRPr="00B95AED" w14:paraId="309C7911" w14:textId="77777777" w:rsidTr="00B91378">
        <w:trPr>
          <w:cantSplit/>
          <w:trHeight w:val="20"/>
          <w:jc w:val="center"/>
        </w:trPr>
        <w:tc>
          <w:tcPr>
            <w:tcW w:w="535" w:type="dxa"/>
            <w:vMerge/>
          </w:tcPr>
          <w:p w14:paraId="7B13E27B" w14:textId="77777777" w:rsidR="00B95AED" w:rsidRPr="00B95AED" w:rsidRDefault="00B95AED" w:rsidP="008D17B8">
            <w:pPr>
              <w:widowControl w:val="0"/>
              <w:autoSpaceDE w:val="0"/>
              <w:autoSpaceDN w:val="0"/>
              <w:adjustRightInd w:val="0"/>
              <w:spacing w:after="0" w:line="320" w:lineRule="atLeast"/>
              <w:ind w:left="60" w:right="60"/>
              <w:jc w:val="center"/>
              <w:rPr>
                <w:rFonts w:cstheme="minorHAnsi"/>
                <w:color w:val="000000" w:themeColor="text1"/>
                <w:sz w:val="20"/>
                <w:szCs w:val="20"/>
              </w:rPr>
            </w:pPr>
          </w:p>
        </w:tc>
        <w:tc>
          <w:tcPr>
            <w:tcW w:w="1080" w:type="dxa"/>
          </w:tcPr>
          <w:p w14:paraId="44E48D88" w14:textId="07716975" w:rsidR="00B95AED" w:rsidRPr="00B95AED" w:rsidRDefault="00B95AED" w:rsidP="008D17B8">
            <w:pPr>
              <w:spacing w:after="0" w:line="240" w:lineRule="auto"/>
              <w:ind w:left="60" w:right="60"/>
              <w:rPr>
                <w:rFonts w:cstheme="minorHAnsi"/>
                <w:color w:val="000000" w:themeColor="text1"/>
                <w:sz w:val="20"/>
                <w:szCs w:val="20"/>
              </w:rPr>
            </w:pPr>
            <w:r w:rsidRPr="00B95AED">
              <w:rPr>
                <w:rFonts w:cstheme="minorHAnsi"/>
                <w:color w:val="000000" w:themeColor="text1"/>
                <w:sz w:val="20"/>
                <w:szCs w:val="20"/>
              </w:rPr>
              <w:t>Total N (%)</w:t>
            </w:r>
          </w:p>
        </w:tc>
        <w:tc>
          <w:tcPr>
            <w:tcW w:w="810" w:type="dxa"/>
          </w:tcPr>
          <w:p w14:paraId="0F167632"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2 (1.04)</w:t>
            </w:r>
          </w:p>
        </w:tc>
        <w:tc>
          <w:tcPr>
            <w:tcW w:w="990" w:type="dxa"/>
          </w:tcPr>
          <w:p w14:paraId="6BC12332"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34 (17.70)</w:t>
            </w:r>
          </w:p>
        </w:tc>
        <w:tc>
          <w:tcPr>
            <w:tcW w:w="990" w:type="dxa"/>
          </w:tcPr>
          <w:p w14:paraId="6B70167E"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71 (36.98)</w:t>
            </w:r>
          </w:p>
        </w:tc>
        <w:tc>
          <w:tcPr>
            <w:tcW w:w="990" w:type="dxa"/>
          </w:tcPr>
          <w:p w14:paraId="461BDE2D"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70 (36.46)</w:t>
            </w:r>
          </w:p>
        </w:tc>
        <w:tc>
          <w:tcPr>
            <w:tcW w:w="900" w:type="dxa"/>
          </w:tcPr>
          <w:p w14:paraId="36274EAC" w14:textId="4FC41497" w:rsidR="00B95AED" w:rsidRPr="00B95AED" w:rsidRDefault="00B91378"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15 (</w:t>
            </w:r>
            <w:r w:rsidR="00B95AED" w:rsidRPr="00B95AED">
              <w:rPr>
                <w:rFonts w:cstheme="minorHAnsi"/>
                <w:color w:val="000000" w:themeColor="text1"/>
                <w:sz w:val="20"/>
                <w:szCs w:val="20"/>
              </w:rPr>
              <w:t>7.81)</w:t>
            </w:r>
          </w:p>
        </w:tc>
        <w:tc>
          <w:tcPr>
            <w:tcW w:w="1080" w:type="dxa"/>
          </w:tcPr>
          <w:p w14:paraId="1D01ECA9" w14:textId="77777777" w:rsidR="00B95AED" w:rsidRPr="00B95AED" w:rsidRDefault="00B95AED" w:rsidP="008D17B8">
            <w:pPr>
              <w:spacing w:after="0" w:line="240" w:lineRule="auto"/>
              <w:ind w:left="60" w:right="60"/>
              <w:jc w:val="right"/>
              <w:rPr>
                <w:rFonts w:cstheme="minorHAnsi"/>
                <w:color w:val="000000" w:themeColor="text1"/>
                <w:sz w:val="20"/>
                <w:szCs w:val="20"/>
              </w:rPr>
            </w:pPr>
            <w:r w:rsidRPr="00B95AED">
              <w:rPr>
                <w:rFonts w:cstheme="minorHAnsi"/>
                <w:color w:val="000000" w:themeColor="text1"/>
                <w:sz w:val="20"/>
                <w:szCs w:val="20"/>
              </w:rPr>
              <w:t>192(100)</w:t>
            </w:r>
          </w:p>
        </w:tc>
        <w:tc>
          <w:tcPr>
            <w:tcW w:w="1170" w:type="dxa"/>
            <w:vMerge/>
          </w:tcPr>
          <w:p w14:paraId="6DE0D081" w14:textId="77777777" w:rsidR="00B95AED" w:rsidRPr="00B95AED" w:rsidRDefault="00B95AED" w:rsidP="008D17B8">
            <w:pPr>
              <w:spacing w:after="0" w:line="320" w:lineRule="atLeast"/>
              <w:ind w:left="60" w:right="60"/>
              <w:jc w:val="right"/>
              <w:rPr>
                <w:rFonts w:cstheme="minorHAnsi"/>
                <w:color w:val="000000" w:themeColor="text1"/>
                <w:sz w:val="20"/>
                <w:szCs w:val="20"/>
              </w:rPr>
            </w:pPr>
          </w:p>
        </w:tc>
        <w:tc>
          <w:tcPr>
            <w:tcW w:w="1080" w:type="dxa"/>
            <w:vMerge/>
          </w:tcPr>
          <w:p w14:paraId="64ABDF25" w14:textId="77777777" w:rsidR="00B95AED" w:rsidRPr="00B95AED" w:rsidRDefault="00B95AED" w:rsidP="008D17B8">
            <w:pPr>
              <w:spacing w:after="0" w:line="320" w:lineRule="atLeast"/>
              <w:ind w:left="60" w:right="60"/>
              <w:jc w:val="right"/>
              <w:rPr>
                <w:rFonts w:cstheme="minorHAnsi"/>
                <w:color w:val="000000" w:themeColor="text1"/>
                <w:sz w:val="20"/>
                <w:szCs w:val="20"/>
              </w:rPr>
            </w:pPr>
          </w:p>
        </w:tc>
      </w:tr>
    </w:tbl>
    <w:p w14:paraId="450AC05F" w14:textId="77777777" w:rsidR="007B4FD4" w:rsidRDefault="007B4FD4" w:rsidP="00B95AED">
      <w:pPr>
        <w:jc w:val="both"/>
        <w:rPr>
          <w:rFonts w:cstheme="minorHAnsi"/>
        </w:rPr>
        <w:sectPr w:rsidR="007B4FD4" w:rsidSect="005A0E97">
          <w:footerReference w:type="default" r:id="rId13"/>
          <w:type w:val="continuous"/>
          <w:pgSz w:w="12240" w:h="15840"/>
          <w:pgMar w:top="1296" w:right="1296" w:bottom="1296" w:left="1296" w:header="576" w:footer="576" w:gutter="0"/>
          <w:cols w:space="720"/>
          <w:docGrid w:linePitch="360"/>
        </w:sectPr>
      </w:pPr>
    </w:p>
    <w:p w14:paraId="3F9E687C" w14:textId="77777777" w:rsidR="00597140" w:rsidRDefault="00984A4F" w:rsidP="00FC660B">
      <w:pPr>
        <w:spacing w:after="0"/>
        <w:jc w:val="both"/>
        <w:rPr>
          <w:rFonts w:cstheme="minorHAnsi"/>
        </w:rPr>
      </w:pPr>
      <w:r w:rsidRPr="00B95AED">
        <w:rPr>
          <w:rFonts w:cstheme="minorHAnsi"/>
        </w:rPr>
        <w:t>There was</w:t>
      </w:r>
      <w:r w:rsidR="009400C1" w:rsidRPr="00B95AED">
        <w:rPr>
          <w:rFonts w:cstheme="minorHAnsi"/>
        </w:rPr>
        <w:t xml:space="preserve"> increase in HL with advancing age. </w:t>
      </w:r>
      <w:r w:rsidR="00F848DB" w:rsidRPr="00B95AED">
        <w:rPr>
          <w:rFonts w:cstheme="minorHAnsi"/>
        </w:rPr>
        <w:t xml:space="preserve"> The relationship was signi</w:t>
      </w:r>
      <w:r w:rsidR="0094490B" w:rsidRPr="00B95AED">
        <w:rPr>
          <w:rFonts w:cstheme="minorHAnsi"/>
        </w:rPr>
        <w:t xml:space="preserve">ficant with a p-value of &lt;0.001 with a positive relationship on </w:t>
      </w:r>
      <w:r w:rsidR="00F848DB" w:rsidRPr="00B95AED">
        <w:rPr>
          <w:rFonts w:cstheme="minorHAnsi"/>
        </w:rPr>
        <w:t>Pearson’s R correlation among age and severity of hearing loss in both ears</w:t>
      </w:r>
      <w:r w:rsidRPr="00B95AED">
        <w:rPr>
          <w:rFonts w:cstheme="minorHAnsi"/>
        </w:rPr>
        <w:t xml:space="preserve">. Along with male predominance, there was also a predominance of a moderately severe degree in both genders with 58 and 51 males having a moderately severe degree of HL in right and left ears respectively. On the other hand, there were 19 </w:t>
      </w:r>
    </w:p>
    <w:p w14:paraId="1EB66CE6" w14:textId="77777777" w:rsidR="007B4FD4" w:rsidRDefault="00984A4F" w:rsidP="00FC660B">
      <w:pPr>
        <w:spacing w:after="0"/>
        <w:jc w:val="both"/>
        <w:rPr>
          <w:rFonts w:cstheme="minorHAnsi"/>
        </w:rPr>
      </w:pPr>
      <w:r w:rsidRPr="00B95AED">
        <w:rPr>
          <w:rFonts w:cstheme="minorHAnsi"/>
        </w:rPr>
        <w:t>and 20 females with a moderately severe degree of hearing loss in right and left ears respectively. However, the difference was not statistically significant with a p-value of 0.411 and 0.467 in right and left ear respectively with a positive Pearson’s R correlation among gender and severity of hearing loss in both ears.</w:t>
      </w:r>
      <w:r w:rsidR="00F7218A">
        <w:rPr>
          <w:rFonts w:cstheme="minorHAnsi"/>
        </w:rPr>
        <w:t xml:space="preserve"> Figure 1 shows a positive liner relationship between age and frequency of HL.</w:t>
      </w:r>
    </w:p>
    <w:p w14:paraId="5DB08FAF" w14:textId="77777777" w:rsidR="00597140" w:rsidRDefault="00597140" w:rsidP="00F7218A">
      <w:pPr>
        <w:spacing w:after="0"/>
        <w:jc w:val="both"/>
        <w:rPr>
          <w:rFonts w:cstheme="minorHAnsi"/>
        </w:rPr>
      </w:pPr>
    </w:p>
    <w:p w14:paraId="628CDD10" w14:textId="77777777" w:rsidR="00597140" w:rsidRDefault="00597140" w:rsidP="00F7218A">
      <w:pPr>
        <w:spacing w:after="0"/>
        <w:jc w:val="both"/>
        <w:rPr>
          <w:rFonts w:cstheme="minorHAnsi"/>
        </w:rPr>
      </w:pPr>
    </w:p>
    <w:p w14:paraId="5E888AD0" w14:textId="59851BEB" w:rsidR="00597140" w:rsidRDefault="00597140" w:rsidP="00F7218A">
      <w:pPr>
        <w:spacing w:after="0"/>
        <w:jc w:val="both"/>
        <w:rPr>
          <w:rFonts w:cstheme="minorHAnsi"/>
        </w:rPr>
        <w:sectPr w:rsidR="00597140" w:rsidSect="005226D8">
          <w:type w:val="continuous"/>
          <w:pgSz w:w="12240" w:h="15840"/>
          <w:pgMar w:top="1296" w:right="1296" w:bottom="1296" w:left="1296" w:header="720" w:footer="720" w:gutter="0"/>
          <w:cols w:num="2" w:space="360"/>
          <w:docGrid w:linePitch="360"/>
        </w:sectPr>
      </w:pPr>
    </w:p>
    <w:p w14:paraId="2CF43CEA" w14:textId="7B4DF953" w:rsidR="00B95AED" w:rsidRPr="00B95AED" w:rsidRDefault="00B95AED" w:rsidP="00B95AED">
      <w:pPr>
        <w:jc w:val="both"/>
        <w:rPr>
          <w:rFonts w:cstheme="minorHAnsi"/>
        </w:rPr>
      </w:pPr>
      <w:r w:rsidRPr="00776746">
        <w:rPr>
          <w:b/>
          <w:noProof/>
          <w:sz w:val="24"/>
          <w:szCs w:val="23"/>
        </w:rPr>
        <w:drawing>
          <wp:inline distT="0" distB="0" distL="0" distR="0" wp14:anchorId="7962D937" wp14:editId="67A9DE2F">
            <wp:extent cx="6122348" cy="2311879"/>
            <wp:effectExtent l="0" t="0" r="0" b="0"/>
            <wp:docPr id="1" name="Picture 1" descr="C:\Users\dell\Pictures\scatte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catterplo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6573" cy="2332355"/>
                    </a:xfrm>
                    <a:prstGeom prst="rect">
                      <a:avLst/>
                    </a:prstGeom>
                    <a:noFill/>
                    <a:ln>
                      <a:noFill/>
                    </a:ln>
                  </pic:spPr>
                </pic:pic>
              </a:graphicData>
            </a:graphic>
          </wp:inline>
        </w:drawing>
      </w:r>
    </w:p>
    <w:p w14:paraId="5D5AAE0A" w14:textId="77777777" w:rsidR="00B95AED" w:rsidRPr="00B95AED" w:rsidRDefault="00B95AED" w:rsidP="00B95AED">
      <w:pPr>
        <w:pStyle w:val="EndnoteText"/>
        <w:rPr>
          <w:rFonts w:asciiTheme="minorHAnsi" w:hAnsiTheme="minorHAnsi" w:cstheme="minorHAnsi"/>
          <w:b/>
          <w:sz w:val="22"/>
          <w:szCs w:val="22"/>
        </w:rPr>
      </w:pPr>
      <w:r w:rsidRPr="00B95AED">
        <w:rPr>
          <w:rFonts w:asciiTheme="minorHAnsi" w:hAnsiTheme="minorHAnsi" w:cstheme="minorHAnsi"/>
          <w:b/>
          <w:sz w:val="22"/>
          <w:szCs w:val="22"/>
        </w:rPr>
        <w:t>Figure 1: Scatter Plot showing linear positive relationship between age and hearing threshold (n=192)</w:t>
      </w:r>
    </w:p>
    <w:p w14:paraId="1B8DED56" w14:textId="77777777" w:rsidR="007B4FD4" w:rsidRDefault="007B4FD4" w:rsidP="00B95AED">
      <w:pPr>
        <w:jc w:val="both"/>
        <w:rPr>
          <w:rFonts w:cstheme="minorHAnsi"/>
          <w:b/>
          <w:bCs/>
          <w:sz w:val="28"/>
          <w:szCs w:val="28"/>
        </w:rPr>
      </w:pPr>
    </w:p>
    <w:p w14:paraId="43E36BFB" w14:textId="28889A23" w:rsidR="0075396F" w:rsidRDefault="0075396F" w:rsidP="00B95AED">
      <w:pPr>
        <w:jc w:val="both"/>
        <w:rPr>
          <w:rFonts w:cstheme="minorHAnsi"/>
          <w:b/>
          <w:bCs/>
          <w:sz w:val="28"/>
          <w:szCs w:val="28"/>
        </w:rPr>
        <w:sectPr w:rsidR="0075396F" w:rsidSect="00973633">
          <w:type w:val="continuous"/>
          <w:pgSz w:w="12240" w:h="15840"/>
          <w:pgMar w:top="1296" w:right="1296" w:bottom="1296" w:left="1296" w:header="720" w:footer="720" w:gutter="0"/>
          <w:cols w:space="720"/>
          <w:docGrid w:linePitch="360"/>
        </w:sectPr>
      </w:pPr>
    </w:p>
    <w:p w14:paraId="6D1A0F95" w14:textId="3D9CCFFA" w:rsidR="0094389A" w:rsidRPr="00F7218A" w:rsidRDefault="00B95AED" w:rsidP="00EA75C6">
      <w:pPr>
        <w:pBdr>
          <w:top w:val="single" w:sz="4" w:space="1" w:color="auto"/>
          <w:left w:val="single" w:sz="4" w:space="4" w:color="auto"/>
          <w:bottom w:val="single" w:sz="4" w:space="1" w:color="auto"/>
          <w:right w:val="single" w:sz="4" w:space="4" w:color="auto"/>
        </w:pBdr>
        <w:spacing w:before="60" w:after="60"/>
        <w:ind w:left="446" w:right="418"/>
        <w:jc w:val="center"/>
        <w:rPr>
          <w:rFonts w:cstheme="minorHAnsi"/>
          <w:b/>
          <w:bCs/>
          <w:spacing w:val="40"/>
          <w:sz w:val="28"/>
          <w:szCs w:val="28"/>
        </w:rPr>
      </w:pPr>
      <w:r w:rsidRPr="00F7218A">
        <w:rPr>
          <w:rFonts w:cstheme="minorHAnsi"/>
          <w:b/>
          <w:bCs/>
          <w:spacing w:val="40"/>
          <w:sz w:val="28"/>
          <w:szCs w:val="28"/>
        </w:rPr>
        <w:t>Discussion</w:t>
      </w:r>
    </w:p>
    <w:p w14:paraId="3B9BB2B3" w14:textId="77777777" w:rsidR="00FC660B" w:rsidRPr="00FC660B" w:rsidRDefault="00FC660B" w:rsidP="00FC660B">
      <w:pPr>
        <w:spacing w:after="0"/>
        <w:jc w:val="both"/>
        <w:rPr>
          <w:rFonts w:cstheme="minorHAnsi"/>
        </w:rPr>
      </w:pPr>
      <w:r w:rsidRPr="00FC660B">
        <w:rPr>
          <w:rFonts w:cstheme="minorHAnsi"/>
        </w:rPr>
        <w:t xml:space="preserve">In this study, with 67.19% males and 32.81% female population and a mean age of 65.85±7.0, high frequency gently sloping curve (mechanical, cochlear conductive) was the commonest presentation, while the second commonest configuration was high frequency steeply sloping curve (sensory).  Literature search revealed varying audiometric configurations like </w:t>
      </w:r>
      <w:proofErr w:type="spellStart"/>
      <w:r w:rsidRPr="00FC660B">
        <w:rPr>
          <w:rFonts w:cstheme="minorHAnsi"/>
        </w:rPr>
        <w:t>Sarafraz</w:t>
      </w:r>
      <w:proofErr w:type="spellEnd"/>
      <w:r w:rsidRPr="00FC660B">
        <w:rPr>
          <w:rFonts w:cstheme="minorHAnsi"/>
        </w:rPr>
        <w:t xml:space="preserve"> M et al </w:t>
      </w:r>
      <w:r w:rsidRPr="00FC660B">
        <w:rPr>
          <w:rFonts w:cstheme="minorHAnsi"/>
        </w:rPr>
        <w:t>revealed predominance (64.29%) of the sensory pattern on audiogram followed by neural (16.25%), conductive (9.54%), metabolic (2.68%) and sensory-neural (7.16%) in decreasing order of frequency which is in contrast to this study.</w:t>
      </w:r>
      <w:r w:rsidRPr="00F93778">
        <w:rPr>
          <w:rFonts w:cstheme="minorHAnsi"/>
          <w:vertAlign w:val="superscript"/>
        </w:rPr>
        <w:t>11</w:t>
      </w:r>
      <w:r w:rsidRPr="00FC660B">
        <w:rPr>
          <w:rFonts w:cstheme="minorHAnsi"/>
        </w:rPr>
        <w:t xml:space="preserve"> Wang &amp; Puel noted sharply sloping curve in high frequency in males compared to gradual slope in females. </w:t>
      </w:r>
      <w:r w:rsidRPr="00F93778">
        <w:rPr>
          <w:rFonts w:cstheme="minorHAnsi"/>
          <w:vertAlign w:val="superscript"/>
        </w:rPr>
        <w:t>12</w:t>
      </w:r>
      <w:r w:rsidRPr="00FC660B">
        <w:rPr>
          <w:rFonts w:cstheme="minorHAnsi"/>
        </w:rPr>
        <w:t xml:space="preserve"> A study by </w:t>
      </w:r>
      <w:proofErr w:type="spellStart"/>
      <w:r w:rsidRPr="00FC660B">
        <w:rPr>
          <w:rFonts w:cstheme="minorHAnsi"/>
        </w:rPr>
        <w:t>Wasana</w:t>
      </w:r>
      <w:proofErr w:type="spellEnd"/>
      <w:r w:rsidRPr="00FC660B">
        <w:rPr>
          <w:rFonts w:cstheme="minorHAnsi"/>
        </w:rPr>
        <w:t xml:space="preserve"> K et al reported slow age-related decline with an audiogram showing deterioration at </w:t>
      </w:r>
      <w:r w:rsidRPr="00FC660B">
        <w:rPr>
          <w:rFonts w:cstheme="minorHAnsi"/>
        </w:rPr>
        <w:lastRenderedPageBreak/>
        <w:t>1, 2 and 4 kHz with a typical moderately sloping curve (mechanical cochlear conductive)</w:t>
      </w:r>
      <w:r w:rsidRPr="00F93778">
        <w:rPr>
          <w:rFonts w:cstheme="minorHAnsi"/>
          <w:vertAlign w:val="superscript"/>
        </w:rPr>
        <w:t xml:space="preserve">13 </w:t>
      </w:r>
      <w:r w:rsidRPr="00FC660B">
        <w:rPr>
          <w:rFonts w:cstheme="minorHAnsi"/>
        </w:rPr>
        <w:t xml:space="preserve">which was the most predominant curve in this study as well.  In a Nigerian study published in 2013, </w:t>
      </w:r>
      <w:proofErr w:type="spellStart"/>
      <w:r w:rsidRPr="00FC660B">
        <w:rPr>
          <w:rFonts w:cstheme="minorHAnsi"/>
        </w:rPr>
        <w:t>Sogebi</w:t>
      </w:r>
      <w:proofErr w:type="spellEnd"/>
      <w:r w:rsidRPr="00FC660B">
        <w:rPr>
          <w:rFonts w:cstheme="minorHAnsi"/>
        </w:rPr>
        <w:t xml:space="preserve"> OA et al reported a predominance of serial pattern with a flat loss involving both speech and higher frequencies.</w:t>
      </w:r>
      <w:r w:rsidRPr="00F93778">
        <w:rPr>
          <w:rFonts w:cstheme="minorHAnsi"/>
          <w:vertAlign w:val="superscript"/>
        </w:rPr>
        <w:t>14</w:t>
      </w:r>
      <w:r w:rsidRPr="00FC660B">
        <w:rPr>
          <w:rFonts w:cstheme="minorHAnsi"/>
        </w:rPr>
        <w:t xml:space="preserve"> Moreover, </w:t>
      </w:r>
      <w:proofErr w:type="spellStart"/>
      <w:r w:rsidRPr="00FC660B">
        <w:rPr>
          <w:rFonts w:cstheme="minorHAnsi"/>
        </w:rPr>
        <w:t>Demeester</w:t>
      </w:r>
      <w:proofErr w:type="spellEnd"/>
      <w:r w:rsidRPr="00FC660B">
        <w:rPr>
          <w:rFonts w:cstheme="minorHAnsi"/>
        </w:rPr>
        <w:t xml:space="preserve"> K et al in a Belgian study in 2009 reported a predominance of the flat curve (37%) followed by high frequency, gently sloping curve (35%) and high frequency steeply sloping curve (27%). Also, low frequency ascending curve, mid-frequency U-shape and reverse U-shape curves were seen in less than 1% of the subjects.</w:t>
      </w:r>
      <w:r w:rsidRPr="00F93778">
        <w:rPr>
          <w:rFonts w:cstheme="minorHAnsi"/>
          <w:vertAlign w:val="superscript"/>
        </w:rPr>
        <w:t>15</w:t>
      </w:r>
      <w:r w:rsidRPr="00FC660B">
        <w:rPr>
          <w:rFonts w:cstheme="minorHAnsi"/>
        </w:rPr>
        <w:t xml:space="preserve"> </w:t>
      </w:r>
    </w:p>
    <w:p w14:paraId="5F235524" w14:textId="77777777" w:rsidR="00FC660B" w:rsidRPr="00FC660B" w:rsidRDefault="00FC660B" w:rsidP="00FC660B">
      <w:pPr>
        <w:spacing w:after="0"/>
        <w:jc w:val="both"/>
        <w:rPr>
          <w:rFonts w:cstheme="minorHAnsi"/>
        </w:rPr>
      </w:pPr>
      <w:r w:rsidRPr="00FC660B">
        <w:rPr>
          <w:rFonts w:cstheme="minorHAnsi"/>
        </w:rPr>
        <w:t>As far as the severity of HL is concerned, the present study revealed that the majority of right and left ears suffered moderately severe HL, while severe HL was second commonest and profound HL was interestingly uncommon. This finding may be due to the fact that our sample population had a mean age of 65.85 ± 7.36 years being a hospital-based study and very old adults in which severe and profound presbycusis could have been noted, were not included. A somewhat similar pattern was noted in a study by Fei J which revealed normal hearing in 29.5%, mild to moderately severe HL in 59.5% and severe &amp; profound HL in 11% with conductive element noted in 5.45%.</w:t>
      </w:r>
      <w:r w:rsidRPr="00F93778">
        <w:rPr>
          <w:rFonts w:cstheme="minorHAnsi"/>
          <w:vertAlign w:val="superscript"/>
        </w:rPr>
        <w:t>16</w:t>
      </w:r>
    </w:p>
    <w:p w14:paraId="6986374B" w14:textId="77777777" w:rsidR="00FC660B" w:rsidRPr="00FC660B" w:rsidRDefault="00FC660B" w:rsidP="00FC660B">
      <w:pPr>
        <w:spacing w:after="0"/>
        <w:jc w:val="both"/>
        <w:rPr>
          <w:rFonts w:cstheme="minorHAnsi"/>
        </w:rPr>
      </w:pPr>
      <w:r w:rsidRPr="00FC660B">
        <w:rPr>
          <w:rFonts w:cstheme="minorHAnsi"/>
        </w:rPr>
        <w:t xml:space="preserve">In the current study, a statistically significant difference was noted between age and configuration of the audiogram (p-value of 0.000) with a positive correlation for both ears, due to progress of HL in aging population due to presbycusis. While the predominance of male gender was observed in the pattern of high frequency gently sloping hearing loss, however, the difference was not statistically significant (P=0.716). In contrast to our results, a study by </w:t>
      </w:r>
      <w:proofErr w:type="spellStart"/>
      <w:r w:rsidRPr="00FC660B">
        <w:rPr>
          <w:rFonts w:cstheme="minorHAnsi"/>
        </w:rPr>
        <w:t>Demeester</w:t>
      </w:r>
      <w:proofErr w:type="spellEnd"/>
      <w:r w:rsidRPr="00FC660B">
        <w:rPr>
          <w:rFonts w:cstheme="minorHAnsi"/>
        </w:rPr>
        <w:t xml:space="preserve"> K et al found that in females, a flat curve was significantly more common, while in males, high frequency steeply sloping curves were more frequently encountered and noise and solvent exposure did not affect this pattern. </w:t>
      </w:r>
      <w:r w:rsidRPr="00F93778">
        <w:rPr>
          <w:rFonts w:cstheme="minorHAnsi"/>
          <w:vertAlign w:val="superscript"/>
        </w:rPr>
        <w:t>15</w:t>
      </w:r>
      <w:r w:rsidRPr="00FC660B">
        <w:rPr>
          <w:rFonts w:cstheme="minorHAnsi"/>
        </w:rPr>
        <w:t xml:space="preserve"> Wu PZ et al noted that though level of HL is quite predictable from hair cell amount </w:t>
      </w:r>
      <w:r w:rsidRPr="00FC660B">
        <w:rPr>
          <w:rFonts w:cstheme="minorHAnsi"/>
        </w:rPr>
        <w:t xml:space="preserve">degenerated, however as </w:t>
      </w:r>
      <w:proofErr w:type="spellStart"/>
      <w:r w:rsidRPr="00FC660B">
        <w:rPr>
          <w:rFonts w:cstheme="minorHAnsi"/>
        </w:rPr>
        <w:t>strial</w:t>
      </w:r>
      <w:proofErr w:type="spellEnd"/>
      <w:r w:rsidRPr="00FC660B">
        <w:rPr>
          <w:rFonts w:cstheme="minorHAnsi"/>
        </w:rPr>
        <w:t xml:space="preserve"> tissue is lost, cell death becomes intense and audiogram slope is not diagnostic for </w:t>
      </w:r>
      <w:proofErr w:type="spellStart"/>
      <w:r w:rsidRPr="00FC660B">
        <w:rPr>
          <w:rFonts w:cstheme="minorHAnsi"/>
        </w:rPr>
        <w:t>strial</w:t>
      </w:r>
      <w:proofErr w:type="spellEnd"/>
      <w:r w:rsidRPr="00FC660B">
        <w:rPr>
          <w:rFonts w:cstheme="minorHAnsi"/>
        </w:rPr>
        <w:t xml:space="preserve"> degeneration. </w:t>
      </w:r>
      <w:r w:rsidRPr="00F93778">
        <w:rPr>
          <w:rFonts w:cstheme="minorHAnsi"/>
          <w:vertAlign w:val="superscript"/>
        </w:rPr>
        <w:t>17</w:t>
      </w:r>
    </w:p>
    <w:p w14:paraId="5D0423B1" w14:textId="77777777" w:rsidR="00FC660B" w:rsidRPr="00FC660B" w:rsidRDefault="00FC660B" w:rsidP="00FC660B">
      <w:pPr>
        <w:spacing w:after="0"/>
        <w:jc w:val="both"/>
        <w:rPr>
          <w:rFonts w:cstheme="minorHAnsi"/>
        </w:rPr>
      </w:pPr>
      <w:r w:rsidRPr="00FC660B">
        <w:rPr>
          <w:rFonts w:cstheme="minorHAnsi"/>
        </w:rPr>
        <w:t xml:space="preserve">As far as the severity of HL is concerned, in the present study, increase in age revealed an increase in the severity of HL, the difference being statistically significant (P=0.000) with positive correlation. This difference is due to the degenerative changes occurring in the organ of </w:t>
      </w:r>
      <w:proofErr w:type="spellStart"/>
      <w:r w:rsidRPr="00FC660B">
        <w:rPr>
          <w:rFonts w:cstheme="minorHAnsi"/>
        </w:rPr>
        <w:t>Corti</w:t>
      </w:r>
      <w:proofErr w:type="spellEnd"/>
      <w:r w:rsidRPr="00FC660B">
        <w:rPr>
          <w:rFonts w:cstheme="minorHAnsi"/>
        </w:rPr>
        <w:t xml:space="preserve"> with increasing age.</w:t>
      </w:r>
      <w:r w:rsidRPr="00F93778">
        <w:rPr>
          <w:rFonts w:cstheme="minorHAnsi"/>
          <w:vertAlign w:val="superscript"/>
        </w:rPr>
        <w:t>1</w:t>
      </w:r>
      <w:r w:rsidRPr="00FC660B">
        <w:rPr>
          <w:rFonts w:cstheme="minorHAnsi"/>
        </w:rPr>
        <w:t xml:space="preserve"> Similarly, in a study by </w:t>
      </w:r>
      <w:proofErr w:type="spellStart"/>
      <w:r w:rsidRPr="00FC660B">
        <w:rPr>
          <w:rFonts w:cstheme="minorHAnsi"/>
        </w:rPr>
        <w:t>Rigters</w:t>
      </w:r>
      <w:proofErr w:type="spellEnd"/>
      <w:r w:rsidRPr="00FC660B">
        <w:rPr>
          <w:rFonts w:cstheme="minorHAnsi"/>
        </w:rPr>
        <w:t xml:space="preserve"> SC et al., an increase in HL of 0.29 to 1.35 dB per year for low and high frequencies respectively was reported in aging population.</w:t>
      </w:r>
      <w:r w:rsidRPr="00F93778">
        <w:rPr>
          <w:rFonts w:cstheme="minorHAnsi"/>
          <w:vertAlign w:val="superscript"/>
        </w:rPr>
        <w:t xml:space="preserve"> 18 </w:t>
      </w:r>
    </w:p>
    <w:p w14:paraId="665A8BCB" w14:textId="066E3275" w:rsidR="00782896" w:rsidRPr="00B95AED" w:rsidRDefault="00FC660B" w:rsidP="00FC660B">
      <w:pPr>
        <w:spacing w:after="0"/>
        <w:jc w:val="both"/>
        <w:rPr>
          <w:rFonts w:cstheme="minorHAnsi"/>
        </w:rPr>
      </w:pPr>
      <w:r w:rsidRPr="00FC660B">
        <w:rPr>
          <w:rFonts w:cstheme="minorHAnsi"/>
        </w:rPr>
        <w:t xml:space="preserve">With regard to severity/ degree of hearing loss in the current study, gender-wise, the difference was not statistically significant with a p-value of 0.411 and 0.467 in right and left ears respectively with a positive correlation among gender and severity of hearing loss in both ears. In contrast, study by </w:t>
      </w:r>
      <w:proofErr w:type="spellStart"/>
      <w:r w:rsidRPr="00FC660B">
        <w:rPr>
          <w:rFonts w:cstheme="minorHAnsi"/>
        </w:rPr>
        <w:t>Demeester</w:t>
      </w:r>
      <w:proofErr w:type="spellEnd"/>
      <w:r w:rsidRPr="00FC660B">
        <w:rPr>
          <w:rFonts w:cstheme="minorHAnsi"/>
        </w:rPr>
        <w:t xml:space="preserve"> K et al revealed more hearing loss in females compared to males, with a flat curve of the audiogram,</w:t>
      </w:r>
      <w:r w:rsidRPr="00F93778">
        <w:rPr>
          <w:rFonts w:cstheme="minorHAnsi"/>
          <w:vertAlign w:val="superscript"/>
        </w:rPr>
        <w:t>15</w:t>
      </w:r>
      <w:r w:rsidRPr="00FC660B">
        <w:rPr>
          <w:rFonts w:cstheme="minorHAnsi"/>
        </w:rPr>
        <w:t xml:space="preserve"> while </w:t>
      </w:r>
      <w:proofErr w:type="spellStart"/>
      <w:r w:rsidRPr="00FC660B">
        <w:rPr>
          <w:rFonts w:cstheme="minorHAnsi"/>
        </w:rPr>
        <w:t>Wasano</w:t>
      </w:r>
      <w:proofErr w:type="spellEnd"/>
      <w:r w:rsidRPr="00FC660B">
        <w:rPr>
          <w:rFonts w:cstheme="minorHAnsi"/>
        </w:rPr>
        <w:t xml:space="preserve"> K et al did not report any significant gender difference in youngest and oldest age groups.</w:t>
      </w:r>
      <w:r w:rsidRPr="00F93778">
        <w:rPr>
          <w:rFonts w:cstheme="minorHAnsi"/>
          <w:vertAlign w:val="superscript"/>
        </w:rPr>
        <w:t>13</w:t>
      </w:r>
      <w:r w:rsidRPr="00FC660B">
        <w:rPr>
          <w:rFonts w:cstheme="minorHAnsi"/>
        </w:rPr>
        <w:t xml:space="preserve"> Audiogram findings are critical in predicting inner ear degeneration and hence current</w:t>
      </w:r>
      <w:r w:rsidR="00202DC7" w:rsidRPr="00B95AED">
        <w:rPr>
          <w:rFonts w:cstheme="minorHAnsi"/>
        </w:rPr>
        <w:t xml:space="preserve"> study is of significant importance. </w:t>
      </w:r>
      <w:r w:rsidR="004F0BDE" w:rsidRPr="00353FC6">
        <w:rPr>
          <w:rFonts w:cstheme="minorHAnsi"/>
          <w:vertAlign w:val="superscript"/>
        </w:rPr>
        <w:t>17</w:t>
      </w:r>
    </w:p>
    <w:p w14:paraId="52749D2E" w14:textId="684723B2" w:rsidR="0065744E" w:rsidRPr="00F7218A" w:rsidRDefault="00B95AED" w:rsidP="00EA75C6">
      <w:pPr>
        <w:pBdr>
          <w:top w:val="single" w:sz="4" w:space="1" w:color="auto"/>
          <w:left w:val="single" w:sz="4" w:space="4" w:color="auto"/>
          <w:bottom w:val="single" w:sz="4" w:space="1" w:color="auto"/>
          <w:right w:val="single" w:sz="4" w:space="4" w:color="auto"/>
        </w:pBdr>
        <w:spacing w:before="60" w:after="60"/>
        <w:ind w:left="446" w:right="418"/>
        <w:jc w:val="center"/>
        <w:rPr>
          <w:rFonts w:cstheme="minorHAnsi"/>
          <w:b/>
          <w:bCs/>
          <w:spacing w:val="40"/>
          <w:sz w:val="28"/>
          <w:szCs w:val="28"/>
        </w:rPr>
      </w:pPr>
      <w:r w:rsidRPr="00F7218A">
        <w:rPr>
          <w:rFonts w:cstheme="minorHAnsi"/>
          <w:b/>
          <w:bCs/>
          <w:spacing w:val="40"/>
          <w:sz w:val="28"/>
          <w:szCs w:val="28"/>
        </w:rPr>
        <w:t>Conclusion</w:t>
      </w:r>
    </w:p>
    <w:p w14:paraId="5F75F9FB" w14:textId="4610FE1F" w:rsidR="00437E06" w:rsidRPr="00B95AED" w:rsidRDefault="00F848DB" w:rsidP="00FC660B">
      <w:pPr>
        <w:spacing w:after="0"/>
        <w:jc w:val="both"/>
        <w:rPr>
          <w:rFonts w:cstheme="minorHAnsi"/>
        </w:rPr>
      </w:pPr>
      <w:r w:rsidRPr="00B95AED">
        <w:rPr>
          <w:rFonts w:cstheme="minorHAnsi"/>
        </w:rPr>
        <w:t xml:space="preserve">High frequency gently sloping audiogram was </w:t>
      </w:r>
      <w:r w:rsidR="0010088F" w:rsidRPr="00B95AED">
        <w:rPr>
          <w:rFonts w:cstheme="minorHAnsi"/>
        </w:rPr>
        <w:t xml:space="preserve">the </w:t>
      </w:r>
      <w:r w:rsidRPr="00B95AED">
        <w:rPr>
          <w:rFonts w:cstheme="minorHAnsi"/>
        </w:rPr>
        <w:t xml:space="preserve">commonest configuration followed by high frequency steeply sloping curve. Severity wise moderately severe </w:t>
      </w:r>
      <w:r w:rsidR="00F76D56" w:rsidRPr="00B95AED">
        <w:rPr>
          <w:rFonts w:cstheme="minorHAnsi"/>
        </w:rPr>
        <w:t>hearing loss</w:t>
      </w:r>
      <w:r w:rsidRPr="00B95AED">
        <w:rPr>
          <w:rFonts w:cstheme="minorHAnsi"/>
        </w:rPr>
        <w:t xml:space="preserve"> </w:t>
      </w:r>
      <w:r w:rsidR="00F76D56" w:rsidRPr="00B95AED">
        <w:rPr>
          <w:rFonts w:cstheme="minorHAnsi"/>
        </w:rPr>
        <w:t>was the</w:t>
      </w:r>
      <w:r w:rsidRPr="00B95AED">
        <w:rPr>
          <w:rFonts w:cstheme="minorHAnsi"/>
        </w:rPr>
        <w:t xml:space="preserve"> commonest followed by severe </w:t>
      </w:r>
      <w:r w:rsidR="00F76D56" w:rsidRPr="00B95AED">
        <w:rPr>
          <w:rFonts w:cstheme="minorHAnsi"/>
        </w:rPr>
        <w:t>hearing loss</w:t>
      </w:r>
      <w:r w:rsidRPr="00B95AED">
        <w:rPr>
          <w:rFonts w:cstheme="minorHAnsi"/>
        </w:rPr>
        <w:t>.</w:t>
      </w:r>
    </w:p>
    <w:p w14:paraId="5563F238" w14:textId="59E5E5EB" w:rsidR="00513F05" w:rsidRPr="00B95AED" w:rsidRDefault="00B95AED" w:rsidP="00FC660B">
      <w:pPr>
        <w:spacing w:after="0"/>
        <w:jc w:val="both"/>
        <w:rPr>
          <w:rFonts w:cstheme="minorHAnsi"/>
          <w:b/>
          <w:bCs/>
        </w:rPr>
      </w:pPr>
      <w:r w:rsidRPr="00B95AED">
        <w:rPr>
          <w:rFonts w:cstheme="minorHAnsi"/>
          <w:b/>
          <w:bCs/>
        </w:rPr>
        <w:t>Disclaimer</w:t>
      </w:r>
    </w:p>
    <w:p w14:paraId="7BE32797" w14:textId="7CABBC7F" w:rsidR="00513F05" w:rsidRPr="00B95AED" w:rsidRDefault="00513F05" w:rsidP="00B95AED">
      <w:pPr>
        <w:jc w:val="both"/>
        <w:rPr>
          <w:rFonts w:cstheme="minorHAnsi"/>
        </w:rPr>
      </w:pPr>
      <w:r w:rsidRPr="00B95AED">
        <w:rPr>
          <w:rFonts w:cstheme="minorHAnsi"/>
        </w:rPr>
        <w:t>This research is part of the main research of M Phil (</w:t>
      </w:r>
      <w:r w:rsidR="002451DC" w:rsidRPr="00B95AED">
        <w:rPr>
          <w:rFonts w:cstheme="minorHAnsi"/>
        </w:rPr>
        <w:t>Speech-language</w:t>
      </w:r>
      <w:r w:rsidRPr="00B95AED">
        <w:rPr>
          <w:rFonts w:cstheme="minorHAnsi"/>
        </w:rPr>
        <w:t xml:space="preserve"> pathology) thesis project.</w:t>
      </w:r>
    </w:p>
    <w:p w14:paraId="1A66DDC0" w14:textId="4FD6FA29" w:rsidR="00437E06" w:rsidRPr="00F7218A" w:rsidRDefault="00B95AED" w:rsidP="00EA75C6">
      <w:pPr>
        <w:pBdr>
          <w:top w:val="single" w:sz="4" w:space="1" w:color="auto"/>
          <w:left w:val="single" w:sz="4" w:space="4" w:color="auto"/>
          <w:bottom w:val="single" w:sz="4" w:space="1" w:color="auto"/>
          <w:right w:val="single" w:sz="4" w:space="4" w:color="auto"/>
        </w:pBdr>
        <w:spacing w:before="60" w:after="60"/>
        <w:ind w:left="446" w:right="418"/>
        <w:jc w:val="center"/>
        <w:rPr>
          <w:rFonts w:cstheme="minorHAnsi"/>
          <w:b/>
          <w:bCs/>
          <w:spacing w:val="40"/>
          <w:sz w:val="28"/>
          <w:szCs w:val="28"/>
        </w:rPr>
      </w:pPr>
      <w:r w:rsidRPr="00F7218A">
        <w:rPr>
          <w:rFonts w:cstheme="minorHAnsi"/>
          <w:b/>
          <w:bCs/>
          <w:spacing w:val="40"/>
          <w:sz w:val="28"/>
          <w:szCs w:val="28"/>
        </w:rPr>
        <w:t>References</w:t>
      </w:r>
    </w:p>
    <w:p w14:paraId="703C8EE9" w14:textId="72F0478F" w:rsidR="00FF6DA2" w:rsidRPr="001C2F4E" w:rsidRDefault="00560B74" w:rsidP="007B4FD4">
      <w:pPr>
        <w:numPr>
          <w:ilvl w:val="0"/>
          <w:numId w:val="20"/>
        </w:numPr>
        <w:spacing w:after="0" w:line="240" w:lineRule="auto"/>
        <w:ind w:left="360"/>
        <w:contextualSpacing/>
        <w:jc w:val="both"/>
        <w:rPr>
          <w:rFonts w:cstheme="minorHAnsi"/>
          <w:sz w:val="20"/>
          <w:szCs w:val="20"/>
        </w:rPr>
      </w:pPr>
      <w:r w:rsidRPr="007B4FD4">
        <w:rPr>
          <w:rFonts w:cstheme="minorHAnsi"/>
          <w:sz w:val="20"/>
          <w:szCs w:val="20"/>
        </w:rPr>
        <w:t xml:space="preserve">Shen Y, Ye B, Chen P, Wang Q, Fan C, Shu Y, </w:t>
      </w:r>
      <w:r w:rsidR="00D6104F" w:rsidRPr="007B4FD4">
        <w:rPr>
          <w:rFonts w:cstheme="minorHAnsi"/>
          <w:sz w:val="20"/>
          <w:szCs w:val="20"/>
        </w:rPr>
        <w:t>et al</w:t>
      </w:r>
      <w:r w:rsidRPr="007B4FD4">
        <w:rPr>
          <w:rFonts w:cstheme="minorHAnsi"/>
          <w:sz w:val="20"/>
          <w:szCs w:val="20"/>
        </w:rPr>
        <w:t>. Cognitive decline, dementia, Alzheimer’s disease and presbycusis: examination of the possible molecular mechanism. Frontiers in neuroscience. 2018 Jun 8;12:</w:t>
      </w:r>
      <w:r w:rsidR="008E47CB">
        <w:rPr>
          <w:rFonts w:cstheme="minorHAnsi"/>
          <w:sz w:val="20"/>
          <w:szCs w:val="20"/>
        </w:rPr>
        <w:t xml:space="preserve"> </w:t>
      </w:r>
      <w:r w:rsidRPr="007B4FD4">
        <w:rPr>
          <w:rFonts w:cstheme="minorHAnsi"/>
          <w:sz w:val="20"/>
          <w:szCs w:val="20"/>
        </w:rPr>
        <w:t>394.</w:t>
      </w:r>
      <w:r w:rsidR="007F2076" w:rsidRPr="007B4FD4">
        <w:rPr>
          <w:rFonts w:cstheme="minorHAnsi"/>
          <w:sz w:val="20"/>
          <w:szCs w:val="20"/>
        </w:rPr>
        <w:t xml:space="preserve"> </w:t>
      </w:r>
      <w:hyperlink r:id="rId15" w:history="1">
        <w:r w:rsidR="001C2F4E">
          <w:rPr>
            <w:rFonts w:cstheme="minorHAnsi"/>
            <w:color w:val="020202"/>
            <w:sz w:val="20"/>
            <w:szCs w:val="20"/>
            <w:shd w:val="clear" w:color="auto" w:fill="FFFFFF"/>
          </w:rPr>
          <w:t>D</w:t>
        </w:r>
        <w:r w:rsidR="007F2076" w:rsidRPr="001C2F4E">
          <w:rPr>
            <w:rFonts w:cstheme="minorHAnsi"/>
            <w:color w:val="020202"/>
            <w:sz w:val="20"/>
            <w:szCs w:val="20"/>
            <w:shd w:val="clear" w:color="auto" w:fill="FFFFFF"/>
          </w:rPr>
          <w:t>oi</w:t>
        </w:r>
        <w:r w:rsidR="001C2F4E">
          <w:rPr>
            <w:rFonts w:cstheme="minorHAnsi"/>
            <w:color w:val="020202"/>
            <w:sz w:val="20"/>
            <w:szCs w:val="20"/>
            <w:shd w:val="clear" w:color="auto" w:fill="FFFFFF"/>
          </w:rPr>
          <w:t>:</w:t>
        </w:r>
        <w:r w:rsidR="007F2076" w:rsidRPr="001C2F4E">
          <w:rPr>
            <w:rFonts w:cstheme="minorHAnsi"/>
            <w:color w:val="020202"/>
            <w:sz w:val="20"/>
            <w:szCs w:val="20"/>
            <w:shd w:val="clear" w:color="auto" w:fill="FFFFFF"/>
          </w:rPr>
          <w:t>10.3389/fnins.2018.00394</w:t>
        </w:r>
      </w:hyperlink>
    </w:p>
    <w:p w14:paraId="5E4373A8" w14:textId="5D14F252" w:rsidR="00FF6DA2" w:rsidRPr="007B4FD4" w:rsidRDefault="00FF6DA2" w:rsidP="007B4FD4">
      <w:pPr>
        <w:numPr>
          <w:ilvl w:val="0"/>
          <w:numId w:val="20"/>
        </w:numPr>
        <w:spacing w:after="0" w:line="240" w:lineRule="auto"/>
        <w:ind w:left="360"/>
        <w:contextualSpacing/>
        <w:jc w:val="both"/>
        <w:rPr>
          <w:rFonts w:cstheme="minorHAnsi"/>
          <w:sz w:val="20"/>
          <w:szCs w:val="20"/>
        </w:rPr>
      </w:pPr>
      <w:proofErr w:type="spellStart"/>
      <w:r w:rsidRPr="007B4FD4">
        <w:rPr>
          <w:rFonts w:cstheme="minorHAnsi"/>
          <w:sz w:val="20"/>
          <w:szCs w:val="20"/>
        </w:rPr>
        <w:lastRenderedPageBreak/>
        <w:t>Kurata</w:t>
      </w:r>
      <w:proofErr w:type="spellEnd"/>
      <w:r w:rsidRPr="007B4FD4">
        <w:rPr>
          <w:rFonts w:cstheme="minorHAnsi"/>
          <w:sz w:val="20"/>
          <w:szCs w:val="20"/>
        </w:rPr>
        <w:t xml:space="preserve"> N, </w:t>
      </w:r>
      <w:proofErr w:type="spellStart"/>
      <w:r w:rsidR="002451DC" w:rsidRPr="007B4FD4">
        <w:rPr>
          <w:rFonts w:cstheme="minorHAnsi"/>
          <w:sz w:val="20"/>
          <w:szCs w:val="20"/>
        </w:rPr>
        <w:t>Schachner</w:t>
      </w:r>
      <w:proofErr w:type="spellEnd"/>
      <w:r w:rsidRPr="007B4FD4">
        <w:rPr>
          <w:rFonts w:cstheme="minorHAnsi"/>
          <w:sz w:val="20"/>
          <w:szCs w:val="20"/>
        </w:rPr>
        <w:t xml:space="preserve"> PA, </w:t>
      </w:r>
      <w:proofErr w:type="spellStart"/>
      <w:r w:rsidRPr="007B4FD4">
        <w:rPr>
          <w:rFonts w:cstheme="minorHAnsi"/>
          <w:sz w:val="20"/>
          <w:szCs w:val="20"/>
        </w:rPr>
        <w:t>Paparella</w:t>
      </w:r>
      <w:proofErr w:type="spellEnd"/>
      <w:r w:rsidRPr="007B4FD4">
        <w:rPr>
          <w:rFonts w:cstheme="minorHAnsi"/>
          <w:sz w:val="20"/>
          <w:szCs w:val="20"/>
        </w:rPr>
        <w:t xml:space="preserve"> MM, </w:t>
      </w:r>
      <w:proofErr w:type="spellStart"/>
      <w:r w:rsidRPr="007B4FD4">
        <w:rPr>
          <w:rFonts w:cstheme="minorHAnsi"/>
          <w:sz w:val="20"/>
          <w:szCs w:val="20"/>
        </w:rPr>
        <w:t>Cureoglu</w:t>
      </w:r>
      <w:proofErr w:type="spellEnd"/>
      <w:r w:rsidRPr="007B4FD4">
        <w:rPr>
          <w:rFonts w:cstheme="minorHAnsi"/>
          <w:sz w:val="20"/>
          <w:szCs w:val="20"/>
        </w:rPr>
        <w:t xml:space="preserve"> S. Histopathologic Evaluation of Vascular Findings in the Cochlea in Patients with Presbycusis. JAMA </w:t>
      </w:r>
      <w:proofErr w:type="spellStart"/>
      <w:r w:rsidRPr="007B4FD4">
        <w:rPr>
          <w:rFonts w:cstheme="minorHAnsi"/>
          <w:sz w:val="20"/>
          <w:szCs w:val="20"/>
        </w:rPr>
        <w:t>Otolaryngol</w:t>
      </w:r>
      <w:proofErr w:type="spellEnd"/>
      <w:r w:rsidRPr="007B4FD4">
        <w:rPr>
          <w:rFonts w:cstheme="minorHAnsi"/>
          <w:sz w:val="20"/>
          <w:szCs w:val="20"/>
        </w:rPr>
        <w:t xml:space="preserve"> Head Neck Surg. 2016; 142(2):173–178. </w:t>
      </w:r>
      <w:r w:rsidR="001C2F4E" w:rsidRPr="007B4FD4">
        <w:rPr>
          <w:rFonts w:cstheme="minorHAnsi"/>
          <w:sz w:val="20"/>
          <w:szCs w:val="20"/>
        </w:rPr>
        <w:t xml:space="preserve"> </w:t>
      </w:r>
      <w:r w:rsidR="008E47CB">
        <w:rPr>
          <w:rFonts w:cstheme="minorHAnsi"/>
          <w:sz w:val="20"/>
          <w:szCs w:val="20"/>
        </w:rPr>
        <w:t>D</w:t>
      </w:r>
      <w:r w:rsidRPr="007B4FD4">
        <w:rPr>
          <w:rFonts w:cstheme="minorHAnsi"/>
          <w:sz w:val="20"/>
          <w:szCs w:val="20"/>
        </w:rPr>
        <w:t>oi</w:t>
      </w:r>
      <w:r w:rsidR="001C2F4E">
        <w:rPr>
          <w:rFonts w:cstheme="minorHAnsi"/>
          <w:sz w:val="20"/>
          <w:szCs w:val="20"/>
        </w:rPr>
        <w:t>:</w:t>
      </w:r>
      <w:r w:rsidRPr="007B4FD4">
        <w:rPr>
          <w:rFonts w:cstheme="minorHAnsi"/>
          <w:sz w:val="20"/>
          <w:szCs w:val="20"/>
        </w:rPr>
        <w:t>10.1001/jamaoto.2015.3163</w:t>
      </w:r>
    </w:p>
    <w:p w14:paraId="5CB8ED57" w14:textId="066A214C" w:rsidR="00FF6DA2" w:rsidRPr="007B4FD4" w:rsidRDefault="00FF6DA2" w:rsidP="007B4FD4">
      <w:pPr>
        <w:numPr>
          <w:ilvl w:val="0"/>
          <w:numId w:val="20"/>
        </w:numPr>
        <w:spacing w:after="0" w:line="240" w:lineRule="auto"/>
        <w:ind w:left="360"/>
        <w:contextualSpacing/>
        <w:jc w:val="both"/>
        <w:rPr>
          <w:rFonts w:cstheme="minorHAnsi"/>
          <w:sz w:val="20"/>
          <w:szCs w:val="20"/>
        </w:rPr>
      </w:pPr>
      <w:r w:rsidRPr="007B4FD4">
        <w:rPr>
          <w:rFonts w:cstheme="minorHAnsi"/>
          <w:sz w:val="20"/>
          <w:szCs w:val="20"/>
        </w:rPr>
        <w:t xml:space="preserve">Haider HF, </w:t>
      </w:r>
      <w:proofErr w:type="spellStart"/>
      <w:r w:rsidRPr="007B4FD4">
        <w:rPr>
          <w:rFonts w:cstheme="minorHAnsi"/>
          <w:sz w:val="20"/>
          <w:szCs w:val="20"/>
        </w:rPr>
        <w:t>Flook</w:t>
      </w:r>
      <w:proofErr w:type="spellEnd"/>
      <w:r w:rsidRPr="007B4FD4">
        <w:rPr>
          <w:rFonts w:cstheme="minorHAnsi"/>
          <w:sz w:val="20"/>
          <w:szCs w:val="20"/>
        </w:rPr>
        <w:t xml:space="preserve"> M, Aparicio M, Ribeiro D, Antunes M, </w:t>
      </w:r>
      <w:proofErr w:type="spellStart"/>
      <w:r w:rsidRPr="007B4FD4">
        <w:rPr>
          <w:rFonts w:cstheme="minorHAnsi"/>
          <w:sz w:val="20"/>
          <w:szCs w:val="20"/>
        </w:rPr>
        <w:t>Szczepek</w:t>
      </w:r>
      <w:proofErr w:type="spellEnd"/>
      <w:r w:rsidRPr="007B4FD4">
        <w:rPr>
          <w:rFonts w:cstheme="minorHAnsi"/>
          <w:sz w:val="20"/>
          <w:szCs w:val="20"/>
        </w:rPr>
        <w:t xml:space="preserve"> AJ</w:t>
      </w:r>
      <w:r w:rsidR="00802D88" w:rsidRPr="007B4FD4">
        <w:rPr>
          <w:rFonts w:cstheme="minorHAnsi"/>
          <w:sz w:val="20"/>
          <w:szCs w:val="20"/>
        </w:rPr>
        <w:t>,</w:t>
      </w:r>
      <w:r w:rsidRPr="007B4FD4">
        <w:rPr>
          <w:rFonts w:cstheme="minorHAnsi"/>
          <w:sz w:val="20"/>
          <w:szCs w:val="20"/>
        </w:rPr>
        <w:t xml:space="preserve"> et al. Biomarkers of presbycusis and tinnitus in a </w:t>
      </w:r>
      <w:r w:rsidR="002451DC" w:rsidRPr="007B4FD4">
        <w:rPr>
          <w:rFonts w:cstheme="minorHAnsi"/>
          <w:sz w:val="20"/>
          <w:szCs w:val="20"/>
        </w:rPr>
        <w:t>Portuguese</w:t>
      </w:r>
      <w:r w:rsidRPr="007B4FD4">
        <w:rPr>
          <w:rFonts w:cstheme="minorHAnsi"/>
          <w:sz w:val="20"/>
          <w:szCs w:val="20"/>
        </w:rPr>
        <w:t xml:space="preserve"> older population. </w:t>
      </w:r>
      <w:r w:rsidR="00523686" w:rsidRPr="007B4FD4">
        <w:rPr>
          <w:rFonts w:cstheme="minorHAnsi"/>
          <w:sz w:val="20"/>
          <w:szCs w:val="20"/>
        </w:rPr>
        <w:t xml:space="preserve">Front. Aging </w:t>
      </w:r>
      <w:proofErr w:type="spellStart"/>
      <w:r w:rsidR="00523686" w:rsidRPr="007B4FD4">
        <w:rPr>
          <w:rFonts w:cstheme="minorHAnsi"/>
          <w:sz w:val="20"/>
          <w:szCs w:val="20"/>
        </w:rPr>
        <w:t>Neurosci</w:t>
      </w:r>
      <w:proofErr w:type="spellEnd"/>
      <w:r w:rsidR="00523686" w:rsidRPr="007B4FD4">
        <w:rPr>
          <w:rFonts w:cstheme="minorHAnsi"/>
          <w:sz w:val="20"/>
          <w:szCs w:val="20"/>
        </w:rPr>
        <w:t>.</w:t>
      </w:r>
      <w:r w:rsidRPr="007B4FD4">
        <w:rPr>
          <w:rFonts w:cstheme="minorHAnsi"/>
          <w:sz w:val="20"/>
          <w:szCs w:val="20"/>
        </w:rPr>
        <w:t xml:space="preserve"> 2017; 9: 346. </w:t>
      </w:r>
      <w:r w:rsidR="008E47CB">
        <w:rPr>
          <w:rFonts w:cstheme="minorHAnsi"/>
          <w:sz w:val="20"/>
          <w:szCs w:val="20"/>
        </w:rPr>
        <w:t>D</w:t>
      </w:r>
      <w:r w:rsidRPr="007B4FD4">
        <w:rPr>
          <w:rFonts w:cstheme="minorHAnsi"/>
          <w:sz w:val="20"/>
          <w:szCs w:val="20"/>
        </w:rPr>
        <w:t>oi</w:t>
      </w:r>
      <w:r w:rsidR="008E47CB">
        <w:rPr>
          <w:rFonts w:cstheme="minorHAnsi"/>
          <w:sz w:val="20"/>
          <w:szCs w:val="20"/>
        </w:rPr>
        <w:t>:</w:t>
      </w:r>
      <w:r w:rsidR="008E47CB" w:rsidRPr="007B4FD4">
        <w:rPr>
          <w:rFonts w:cstheme="minorHAnsi"/>
          <w:sz w:val="20"/>
          <w:szCs w:val="20"/>
        </w:rPr>
        <w:t xml:space="preserve"> </w:t>
      </w:r>
      <w:r w:rsidRPr="007B4FD4">
        <w:rPr>
          <w:rFonts w:cstheme="minorHAnsi"/>
          <w:sz w:val="20"/>
          <w:szCs w:val="20"/>
        </w:rPr>
        <w:t>10.3389/fnagi.2017.00346</w:t>
      </w:r>
    </w:p>
    <w:p w14:paraId="3D75FF5E" w14:textId="4EA99282" w:rsidR="00FF6DA2" w:rsidRPr="007B4FD4" w:rsidRDefault="00C161EE" w:rsidP="007B4FD4">
      <w:pPr>
        <w:numPr>
          <w:ilvl w:val="0"/>
          <w:numId w:val="20"/>
        </w:numPr>
        <w:spacing w:after="0" w:line="240" w:lineRule="auto"/>
        <w:ind w:left="360"/>
        <w:contextualSpacing/>
        <w:jc w:val="both"/>
        <w:rPr>
          <w:rFonts w:cstheme="minorHAnsi"/>
          <w:sz w:val="20"/>
          <w:szCs w:val="20"/>
        </w:rPr>
      </w:pPr>
      <w:r w:rsidRPr="007B4FD4">
        <w:rPr>
          <w:rFonts w:cstheme="minorHAnsi"/>
          <w:sz w:val="20"/>
          <w:szCs w:val="20"/>
        </w:rPr>
        <w:t>El-</w:t>
      </w:r>
      <w:proofErr w:type="spellStart"/>
      <w:r w:rsidRPr="007B4FD4">
        <w:rPr>
          <w:rFonts w:cstheme="minorHAnsi"/>
          <w:sz w:val="20"/>
          <w:szCs w:val="20"/>
        </w:rPr>
        <w:t>Mahdy</w:t>
      </w:r>
      <w:proofErr w:type="spellEnd"/>
      <w:r w:rsidRPr="007B4FD4">
        <w:rPr>
          <w:rFonts w:cstheme="minorHAnsi"/>
          <w:sz w:val="20"/>
          <w:szCs w:val="20"/>
        </w:rPr>
        <w:t xml:space="preserve"> HM, Abdallah ES, Ramadan EN, </w:t>
      </w:r>
      <w:proofErr w:type="spellStart"/>
      <w:r w:rsidRPr="007B4FD4">
        <w:rPr>
          <w:rFonts w:cstheme="minorHAnsi"/>
          <w:sz w:val="20"/>
          <w:szCs w:val="20"/>
        </w:rPr>
        <w:t>Abdelmordy</w:t>
      </w:r>
      <w:proofErr w:type="spellEnd"/>
      <w:r w:rsidRPr="007B4FD4">
        <w:rPr>
          <w:rFonts w:cstheme="minorHAnsi"/>
          <w:sz w:val="20"/>
          <w:szCs w:val="20"/>
        </w:rPr>
        <w:t xml:space="preserve"> MA. Quality of life among Elderly Hearing Impairment (Presbycusis) at </w:t>
      </w:r>
      <w:proofErr w:type="spellStart"/>
      <w:r w:rsidRPr="007B4FD4">
        <w:rPr>
          <w:rFonts w:cstheme="minorHAnsi"/>
          <w:sz w:val="20"/>
          <w:szCs w:val="20"/>
        </w:rPr>
        <w:t>Benha</w:t>
      </w:r>
      <w:proofErr w:type="spellEnd"/>
      <w:r w:rsidRPr="007B4FD4">
        <w:rPr>
          <w:rFonts w:cstheme="minorHAnsi"/>
          <w:sz w:val="20"/>
          <w:szCs w:val="20"/>
        </w:rPr>
        <w:t xml:space="preserve"> City. Journal of Nursing Science </w:t>
      </w:r>
      <w:proofErr w:type="spellStart"/>
      <w:r w:rsidRPr="007B4FD4">
        <w:rPr>
          <w:rFonts w:cstheme="minorHAnsi"/>
          <w:sz w:val="20"/>
          <w:szCs w:val="20"/>
        </w:rPr>
        <w:t>Benha</w:t>
      </w:r>
      <w:proofErr w:type="spellEnd"/>
      <w:r w:rsidRPr="007B4FD4">
        <w:rPr>
          <w:rFonts w:cstheme="minorHAnsi"/>
          <w:sz w:val="20"/>
          <w:szCs w:val="20"/>
        </w:rPr>
        <w:t xml:space="preserve"> University. 2020 Jan 1;1(1):1-8.</w:t>
      </w:r>
    </w:p>
    <w:p w14:paraId="72D28E0A" w14:textId="05A0B7E3" w:rsidR="00FF6DA2" w:rsidRPr="007B4FD4" w:rsidRDefault="00FF6DA2" w:rsidP="007B4FD4">
      <w:pPr>
        <w:numPr>
          <w:ilvl w:val="0"/>
          <w:numId w:val="20"/>
        </w:numPr>
        <w:spacing w:after="0" w:line="240" w:lineRule="auto"/>
        <w:ind w:left="360"/>
        <w:contextualSpacing/>
        <w:jc w:val="both"/>
        <w:rPr>
          <w:rFonts w:cstheme="minorHAnsi"/>
          <w:sz w:val="20"/>
          <w:szCs w:val="20"/>
        </w:rPr>
      </w:pPr>
      <w:proofErr w:type="spellStart"/>
      <w:r w:rsidRPr="007B4FD4">
        <w:rPr>
          <w:rFonts w:cstheme="minorHAnsi"/>
          <w:sz w:val="20"/>
          <w:szCs w:val="20"/>
        </w:rPr>
        <w:t>Puga</w:t>
      </w:r>
      <w:proofErr w:type="spellEnd"/>
      <w:r w:rsidRPr="007B4FD4">
        <w:rPr>
          <w:rFonts w:cstheme="minorHAnsi"/>
          <w:sz w:val="20"/>
          <w:szCs w:val="20"/>
        </w:rPr>
        <w:t xml:space="preserve"> AM, </w:t>
      </w:r>
      <w:proofErr w:type="spellStart"/>
      <w:r w:rsidRPr="007B4FD4">
        <w:rPr>
          <w:rFonts w:cstheme="minorHAnsi"/>
          <w:sz w:val="20"/>
          <w:szCs w:val="20"/>
        </w:rPr>
        <w:t>Pajares</w:t>
      </w:r>
      <w:proofErr w:type="spellEnd"/>
      <w:r w:rsidRPr="007B4FD4">
        <w:rPr>
          <w:rFonts w:cstheme="minorHAnsi"/>
          <w:sz w:val="20"/>
          <w:szCs w:val="20"/>
        </w:rPr>
        <w:t xml:space="preserve"> MA, Varela-</w:t>
      </w:r>
      <w:proofErr w:type="spellStart"/>
      <w:r w:rsidRPr="007B4FD4">
        <w:rPr>
          <w:rFonts w:cstheme="minorHAnsi"/>
          <w:sz w:val="20"/>
          <w:szCs w:val="20"/>
        </w:rPr>
        <w:t>Moreiras</w:t>
      </w:r>
      <w:proofErr w:type="spellEnd"/>
      <w:r w:rsidRPr="007B4FD4">
        <w:rPr>
          <w:rFonts w:cstheme="minorHAnsi"/>
          <w:sz w:val="20"/>
          <w:szCs w:val="20"/>
        </w:rPr>
        <w:t xml:space="preserve"> G, </w:t>
      </w:r>
      <w:proofErr w:type="spellStart"/>
      <w:r w:rsidRPr="007B4FD4">
        <w:rPr>
          <w:rFonts w:cstheme="minorHAnsi"/>
          <w:sz w:val="20"/>
          <w:szCs w:val="20"/>
        </w:rPr>
        <w:t>Partearroyo</w:t>
      </w:r>
      <w:proofErr w:type="spellEnd"/>
      <w:r w:rsidRPr="007B4FD4">
        <w:rPr>
          <w:rFonts w:cstheme="minorHAnsi"/>
          <w:sz w:val="20"/>
          <w:szCs w:val="20"/>
        </w:rPr>
        <w:t xml:space="preserve"> T. Interplay between Nutrition and Hearing Loss: State of Art. Nutrients 2019; 11(1): 35.  </w:t>
      </w:r>
      <w:r w:rsidR="008E47CB">
        <w:rPr>
          <w:rFonts w:cstheme="minorHAnsi"/>
          <w:sz w:val="20"/>
          <w:szCs w:val="20"/>
        </w:rPr>
        <w:t>D</w:t>
      </w:r>
      <w:r w:rsidRPr="007B4FD4">
        <w:rPr>
          <w:rFonts w:cstheme="minorHAnsi"/>
          <w:sz w:val="20"/>
          <w:szCs w:val="20"/>
        </w:rPr>
        <w:t>oi</w:t>
      </w:r>
      <w:r w:rsidR="008E47CB">
        <w:rPr>
          <w:rFonts w:cstheme="minorHAnsi"/>
          <w:sz w:val="20"/>
          <w:szCs w:val="20"/>
        </w:rPr>
        <w:t>:</w:t>
      </w:r>
      <w:r w:rsidR="008E47CB" w:rsidRPr="007B4FD4">
        <w:rPr>
          <w:rFonts w:cstheme="minorHAnsi"/>
          <w:sz w:val="20"/>
          <w:szCs w:val="20"/>
        </w:rPr>
        <w:t xml:space="preserve"> </w:t>
      </w:r>
      <w:r w:rsidRPr="007B4FD4">
        <w:rPr>
          <w:rFonts w:cstheme="minorHAnsi"/>
          <w:sz w:val="20"/>
          <w:szCs w:val="20"/>
        </w:rPr>
        <w:t>10.3390/nu11010035</w:t>
      </w:r>
    </w:p>
    <w:p w14:paraId="12A00E1F" w14:textId="6DE664B4" w:rsidR="00FF6DA2" w:rsidRPr="007B4FD4" w:rsidRDefault="00FF6DA2" w:rsidP="007B4FD4">
      <w:pPr>
        <w:numPr>
          <w:ilvl w:val="0"/>
          <w:numId w:val="20"/>
        </w:numPr>
        <w:spacing w:after="0" w:line="240" w:lineRule="auto"/>
        <w:ind w:left="360"/>
        <w:contextualSpacing/>
        <w:jc w:val="both"/>
        <w:rPr>
          <w:rFonts w:cstheme="minorHAnsi"/>
          <w:sz w:val="20"/>
          <w:szCs w:val="20"/>
        </w:rPr>
      </w:pPr>
      <w:proofErr w:type="spellStart"/>
      <w:r w:rsidRPr="007B4FD4">
        <w:rPr>
          <w:rFonts w:cstheme="minorHAnsi"/>
          <w:sz w:val="20"/>
          <w:szCs w:val="20"/>
        </w:rPr>
        <w:t>Opatwattana</w:t>
      </w:r>
      <w:proofErr w:type="spellEnd"/>
      <w:r w:rsidRPr="007B4FD4">
        <w:rPr>
          <w:rFonts w:cstheme="minorHAnsi"/>
          <w:sz w:val="20"/>
          <w:szCs w:val="20"/>
        </w:rPr>
        <w:t xml:space="preserve"> C, </w:t>
      </w:r>
      <w:proofErr w:type="spellStart"/>
      <w:r w:rsidRPr="007B4FD4">
        <w:rPr>
          <w:rFonts w:cstheme="minorHAnsi"/>
          <w:sz w:val="20"/>
          <w:szCs w:val="20"/>
        </w:rPr>
        <w:t>Utoomprurkporn</w:t>
      </w:r>
      <w:proofErr w:type="spellEnd"/>
      <w:r w:rsidRPr="007B4FD4">
        <w:rPr>
          <w:rFonts w:cstheme="minorHAnsi"/>
          <w:sz w:val="20"/>
          <w:szCs w:val="20"/>
        </w:rPr>
        <w:t xml:space="preserve"> N. Age-related hearing loss (Presbycusis). Chula Med J.  2018; 62(2):175-85</w:t>
      </w:r>
      <w:r w:rsidR="00802D88" w:rsidRPr="007B4FD4">
        <w:rPr>
          <w:rFonts w:cstheme="minorHAnsi"/>
          <w:sz w:val="20"/>
          <w:szCs w:val="20"/>
        </w:rPr>
        <w:t>.</w:t>
      </w:r>
    </w:p>
    <w:p w14:paraId="7AE54291" w14:textId="6C77EEF1" w:rsidR="0077079A" w:rsidRPr="007B4FD4" w:rsidRDefault="0077079A" w:rsidP="007B4FD4">
      <w:pPr>
        <w:numPr>
          <w:ilvl w:val="0"/>
          <w:numId w:val="20"/>
        </w:numPr>
        <w:spacing w:after="0" w:line="240" w:lineRule="auto"/>
        <w:ind w:left="360"/>
        <w:contextualSpacing/>
        <w:jc w:val="both"/>
        <w:rPr>
          <w:rFonts w:cstheme="minorHAnsi"/>
          <w:sz w:val="20"/>
          <w:szCs w:val="20"/>
        </w:rPr>
      </w:pPr>
      <w:proofErr w:type="spellStart"/>
      <w:r w:rsidRPr="007B4FD4">
        <w:rPr>
          <w:rFonts w:cstheme="minorHAnsi"/>
          <w:sz w:val="20"/>
          <w:szCs w:val="20"/>
        </w:rPr>
        <w:t>Cheslock</w:t>
      </w:r>
      <w:proofErr w:type="spellEnd"/>
      <w:r w:rsidRPr="007B4FD4">
        <w:rPr>
          <w:rFonts w:cstheme="minorHAnsi"/>
          <w:sz w:val="20"/>
          <w:szCs w:val="20"/>
        </w:rPr>
        <w:t xml:space="preserve"> M, De Jesus O. Presbycusis. In: </w:t>
      </w:r>
      <w:proofErr w:type="spellStart"/>
      <w:r w:rsidRPr="007B4FD4">
        <w:rPr>
          <w:rFonts w:cstheme="minorHAnsi"/>
          <w:sz w:val="20"/>
          <w:szCs w:val="20"/>
        </w:rPr>
        <w:t>StatPearls</w:t>
      </w:r>
      <w:proofErr w:type="spellEnd"/>
      <w:r w:rsidRPr="007B4FD4">
        <w:rPr>
          <w:rFonts w:cstheme="minorHAnsi"/>
          <w:sz w:val="20"/>
          <w:szCs w:val="20"/>
        </w:rPr>
        <w:t xml:space="preserve"> [Internet]. Treasure Island (FL): </w:t>
      </w:r>
      <w:proofErr w:type="spellStart"/>
      <w:r w:rsidRPr="007B4FD4">
        <w:rPr>
          <w:rFonts w:cstheme="minorHAnsi"/>
          <w:sz w:val="20"/>
          <w:szCs w:val="20"/>
        </w:rPr>
        <w:t>StatPearls</w:t>
      </w:r>
      <w:proofErr w:type="spellEnd"/>
      <w:r w:rsidRPr="007B4FD4">
        <w:rPr>
          <w:rFonts w:cstheme="minorHAnsi"/>
          <w:sz w:val="20"/>
          <w:szCs w:val="20"/>
        </w:rPr>
        <w:t xml:space="preserve"> Publishing; 2021. Available from: https://www.ncbi.nlm.nih.gov/books/NBK559220/.</w:t>
      </w:r>
    </w:p>
    <w:p w14:paraId="3FFA1529" w14:textId="7A58452D" w:rsidR="00FF6DA2" w:rsidRPr="007B4FD4" w:rsidRDefault="00FF6DA2" w:rsidP="007B4FD4">
      <w:pPr>
        <w:numPr>
          <w:ilvl w:val="0"/>
          <w:numId w:val="20"/>
        </w:numPr>
        <w:spacing w:after="0" w:line="240" w:lineRule="auto"/>
        <w:ind w:left="360"/>
        <w:contextualSpacing/>
        <w:jc w:val="both"/>
        <w:rPr>
          <w:rFonts w:cstheme="minorHAnsi"/>
          <w:sz w:val="20"/>
          <w:szCs w:val="20"/>
        </w:rPr>
      </w:pPr>
      <w:r w:rsidRPr="007B4FD4">
        <w:rPr>
          <w:rFonts w:cstheme="minorHAnsi"/>
          <w:sz w:val="20"/>
          <w:szCs w:val="20"/>
        </w:rPr>
        <w:t xml:space="preserve">Homans NC, </w:t>
      </w:r>
      <w:proofErr w:type="spellStart"/>
      <w:r w:rsidRPr="007B4FD4">
        <w:rPr>
          <w:rFonts w:cstheme="minorHAnsi"/>
          <w:sz w:val="20"/>
          <w:szCs w:val="20"/>
        </w:rPr>
        <w:t>Metselaar</w:t>
      </w:r>
      <w:proofErr w:type="spellEnd"/>
      <w:r w:rsidRPr="007B4FD4">
        <w:rPr>
          <w:rFonts w:cstheme="minorHAnsi"/>
          <w:sz w:val="20"/>
          <w:szCs w:val="20"/>
        </w:rPr>
        <w:t xml:space="preserve"> </w:t>
      </w:r>
      <w:r w:rsidR="008E47CB" w:rsidRPr="007B4FD4">
        <w:rPr>
          <w:rFonts w:cstheme="minorHAnsi"/>
          <w:sz w:val="20"/>
          <w:szCs w:val="20"/>
        </w:rPr>
        <w:t xml:space="preserve">RM, </w:t>
      </w:r>
      <w:proofErr w:type="spellStart"/>
      <w:r w:rsidR="008E47CB" w:rsidRPr="007B4FD4">
        <w:rPr>
          <w:rFonts w:cstheme="minorHAnsi"/>
          <w:sz w:val="20"/>
          <w:szCs w:val="20"/>
        </w:rPr>
        <w:t>Dingemanse</w:t>
      </w:r>
      <w:proofErr w:type="spellEnd"/>
      <w:r w:rsidRPr="007B4FD4">
        <w:rPr>
          <w:rFonts w:cstheme="minorHAnsi"/>
          <w:sz w:val="20"/>
          <w:szCs w:val="20"/>
        </w:rPr>
        <w:t xml:space="preserve"> JG</w:t>
      </w:r>
      <w:r w:rsidR="00B7292C" w:rsidRPr="007B4FD4">
        <w:rPr>
          <w:rFonts w:cstheme="minorHAnsi"/>
          <w:sz w:val="20"/>
          <w:szCs w:val="20"/>
        </w:rPr>
        <w:t>,</w:t>
      </w:r>
      <w:r w:rsidRPr="007B4FD4">
        <w:rPr>
          <w:rFonts w:cstheme="minorHAnsi"/>
          <w:sz w:val="20"/>
          <w:szCs w:val="20"/>
        </w:rPr>
        <w:t xml:space="preserve"> </w:t>
      </w:r>
      <w:proofErr w:type="spellStart"/>
      <w:r w:rsidR="00BD3CBA" w:rsidRPr="007B4FD4">
        <w:rPr>
          <w:rFonts w:cstheme="minorHAnsi"/>
          <w:sz w:val="20"/>
          <w:szCs w:val="20"/>
        </w:rPr>
        <w:t>v</w:t>
      </w:r>
      <w:r w:rsidRPr="007B4FD4">
        <w:rPr>
          <w:rFonts w:cstheme="minorHAnsi"/>
          <w:sz w:val="20"/>
          <w:szCs w:val="20"/>
        </w:rPr>
        <w:t>ander</w:t>
      </w:r>
      <w:proofErr w:type="spellEnd"/>
      <w:r w:rsidR="00B7292C" w:rsidRPr="007B4FD4">
        <w:rPr>
          <w:rFonts w:cstheme="minorHAnsi"/>
          <w:sz w:val="20"/>
          <w:szCs w:val="20"/>
        </w:rPr>
        <w:t xml:space="preserve"> </w:t>
      </w:r>
      <w:proofErr w:type="spellStart"/>
      <w:r w:rsidR="002451DC" w:rsidRPr="007B4FD4">
        <w:rPr>
          <w:rFonts w:cstheme="minorHAnsi"/>
          <w:sz w:val="20"/>
          <w:szCs w:val="20"/>
        </w:rPr>
        <w:t>Schroff</w:t>
      </w:r>
      <w:proofErr w:type="spellEnd"/>
      <w:r w:rsidR="00B7292C" w:rsidRPr="007B4FD4">
        <w:rPr>
          <w:rFonts w:cstheme="minorHAnsi"/>
          <w:sz w:val="20"/>
          <w:szCs w:val="20"/>
        </w:rPr>
        <w:t xml:space="preserve"> </w:t>
      </w:r>
      <w:r w:rsidRPr="007B4FD4">
        <w:rPr>
          <w:rFonts w:cstheme="minorHAnsi"/>
          <w:sz w:val="20"/>
          <w:szCs w:val="20"/>
        </w:rPr>
        <w:t>MP,</w:t>
      </w:r>
      <w:r w:rsidR="002451DC" w:rsidRPr="007B4FD4">
        <w:rPr>
          <w:rFonts w:cstheme="minorHAnsi"/>
          <w:sz w:val="20"/>
          <w:szCs w:val="20"/>
        </w:rPr>
        <w:t xml:space="preserve"> </w:t>
      </w:r>
      <w:proofErr w:type="spellStart"/>
      <w:r w:rsidR="00BD3CBA" w:rsidRPr="007B4FD4">
        <w:rPr>
          <w:rFonts w:cstheme="minorHAnsi"/>
          <w:sz w:val="20"/>
          <w:szCs w:val="20"/>
        </w:rPr>
        <w:t>Br</w:t>
      </w:r>
      <w:r w:rsidRPr="007B4FD4">
        <w:rPr>
          <w:rFonts w:cstheme="minorHAnsi"/>
          <w:sz w:val="20"/>
          <w:szCs w:val="20"/>
        </w:rPr>
        <w:t>ocaar</w:t>
      </w:r>
      <w:proofErr w:type="spellEnd"/>
      <w:r w:rsidR="00B7292C" w:rsidRPr="007B4FD4">
        <w:rPr>
          <w:rFonts w:cstheme="minorHAnsi"/>
          <w:sz w:val="20"/>
          <w:szCs w:val="20"/>
        </w:rPr>
        <w:t xml:space="preserve"> </w:t>
      </w:r>
      <w:r w:rsidR="00BD3CBA" w:rsidRPr="007B4FD4">
        <w:rPr>
          <w:rFonts w:cstheme="minorHAnsi"/>
          <w:sz w:val="20"/>
          <w:szCs w:val="20"/>
        </w:rPr>
        <w:t>MP</w:t>
      </w:r>
      <w:r w:rsidR="00B7292C" w:rsidRPr="007B4FD4">
        <w:rPr>
          <w:rFonts w:cstheme="minorHAnsi"/>
          <w:sz w:val="20"/>
          <w:szCs w:val="20"/>
        </w:rPr>
        <w:t>,</w:t>
      </w:r>
      <w:r w:rsidR="00BD3CBA" w:rsidRPr="007B4FD4">
        <w:rPr>
          <w:rFonts w:cstheme="minorHAnsi"/>
          <w:color w:val="222222"/>
          <w:sz w:val="20"/>
          <w:szCs w:val="20"/>
          <w:shd w:val="clear" w:color="auto" w:fill="FFFFFF"/>
        </w:rPr>
        <w:t xml:space="preserve"> </w:t>
      </w:r>
      <w:proofErr w:type="spellStart"/>
      <w:r w:rsidR="00BD3CBA" w:rsidRPr="007B4FD4">
        <w:rPr>
          <w:rFonts w:cstheme="minorHAnsi"/>
          <w:color w:val="222222"/>
          <w:sz w:val="20"/>
          <w:szCs w:val="20"/>
          <w:shd w:val="clear" w:color="auto" w:fill="FFFFFF"/>
        </w:rPr>
        <w:t>Wieringa</w:t>
      </w:r>
      <w:proofErr w:type="spellEnd"/>
      <w:r w:rsidR="00BD3CBA" w:rsidRPr="007B4FD4">
        <w:rPr>
          <w:rFonts w:cstheme="minorHAnsi"/>
          <w:color w:val="222222"/>
          <w:sz w:val="20"/>
          <w:szCs w:val="20"/>
          <w:shd w:val="clear" w:color="auto" w:fill="FFFFFF"/>
        </w:rPr>
        <w:t xml:space="preserve"> </w:t>
      </w:r>
      <w:r w:rsidR="00BD3CBA" w:rsidRPr="007B4FD4">
        <w:rPr>
          <w:rFonts w:cstheme="minorHAnsi"/>
          <w:sz w:val="20"/>
          <w:szCs w:val="20"/>
        </w:rPr>
        <w:t>M.H,</w:t>
      </w:r>
      <w:r w:rsidRPr="007B4FD4">
        <w:rPr>
          <w:rFonts w:cstheme="minorHAnsi"/>
          <w:sz w:val="20"/>
          <w:szCs w:val="20"/>
        </w:rPr>
        <w:t xml:space="preserve"> et al. Prevalence of age-related hearing loss, including sex differences, in older adults in a large cohort study. Laryngoscope. 2017; 127(3):725-30.</w:t>
      </w:r>
    </w:p>
    <w:p w14:paraId="6745860D" w14:textId="77777777" w:rsidR="0077079A" w:rsidRPr="007B4FD4" w:rsidRDefault="0077079A" w:rsidP="007B4FD4">
      <w:pPr>
        <w:numPr>
          <w:ilvl w:val="0"/>
          <w:numId w:val="20"/>
        </w:numPr>
        <w:spacing w:after="0" w:line="240" w:lineRule="auto"/>
        <w:ind w:left="360"/>
        <w:contextualSpacing/>
        <w:jc w:val="both"/>
        <w:rPr>
          <w:rFonts w:cstheme="minorHAnsi"/>
          <w:sz w:val="20"/>
          <w:szCs w:val="20"/>
        </w:rPr>
      </w:pPr>
      <w:r w:rsidRPr="007B4FD4">
        <w:rPr>
          <w:rFonts w:cstheme="minorHAnsi"/>
          <w:sz w:val="20"/>
          <w:szCs w:val="20"/>
        </w:rPr>
        <w:t xml:space="preserve">Hussain B, Ali M, </w:t>
      </w:r>
      <w:proofErr w:type="spellStart"/>
      <w:r w:rsidRPr="007B4FD4">
        <w:rPr>
          <w:rFonts w:cstheme="minorHAnsi"/>
          <w:sz w:val="20"/>
          <w:szCs w:val="20"/>
        </w:rPr>
        <w:t>Qasim</w:t>
      </w:r>
      <w:proofErr w:type="spellEnd"/>
      <w:r w:rsidRPr="007B4FD4">
        <w:rPr>
          <w:rFonts w:cstheme="minorHAnsi"/>
          <w:sz w:val="20"/>
          <w:szCs w:val="20"/>
        </w:rPr>
        <w:t xml:space="preserve"> M, Masoud MS, Khan L. Hearing impairments, presbycusis and the possible therapeutic interventions. Biomed. Res. 2017;4(4):1228-12445.</w:t>
      </w:r>
    </w:p>
    <w:p w14:paraId="64832946" w14:textId="11E1C495" w:rsidR="00F31172" w:rsidRPr="007B4FD4" w:rsidRDefault="00F31172" w:rsidP="007B4FD4">
      <w:pPr>
        <w:numPr>
          <w:ilvl w:val="0"/>
          <w:numId w:val="20"/>
        </w:numPr>
        <w:spacing w:after="0" w:line="240" w:lineRule="auto"/>
        <w:ind w:left="360"/>
        <w:contextualSpacing/>
        <w:jc w:val="both"/>
        <w:rPr>
          <w:rFonts w:cstheme="minorHAnsi"/>
          <w:sz w:val="20"/>
          <w:szCs w:val="20"/>
        </w:rPr>
      </w:pPr>
      <w:r w:rsidRPr="007B4FD4">
        <w:rPr>
          <w:rFonts w:cstheme="minorHAnsi"/>
          <w:sz w:val="20"/>
          <w:szCs w:val="20"/>
        </w:rPr>
        <w:t xml:space="preserve">Garcia JV, </w:t>
      </w:r>
      <w:proofErr w:type="spellStart"/>
      <w:r w:rsidRPr="007B4FD4">
        <w:rPr>
          <w:rFonts w:cstheme="minorHAnsi"/>
          <w:sz w:val="20"/>
          <w:szCs w:val="20"/>
        </w:rPr>
        <w:t>Rovira</w:t>
      </w:r>
      <w:proofErr w:type="spellEnd"/>
      <w:r w:rsidRPr="007B4FD4">
        <w:rPr>
          <w:rFonts w:cstheme="minorHAnsi"/>
          <w:sz w:val="20"/>
          <w:szCs w:val="20"/>
        </w:rPr>
        <w:t xml:space="preserve"> JMV. Descriptive study on the prevalence of Presbycusis among a population in the </w:t>
      </w:r>
      <w:r w:rsidRPr="007B4FD4">
        <w:rPr>
          <w:rFonts w:cstheme="minorHAnsi"/>
          <w:sz w:val="20"/>
          <w:szCs w:val="20"/>
        </w:rPr>
        <w:t xml:space="preserve">industrial belt of Barcelona by exploring a random sample of Primary Healthcare Center users. European j </w:t>
      </w:r>
      <w:proofErr w:type="spellStart"/>
      <w:r w:rsidRPr="007B4FD4">
        <w:rPr>
          <w:rFonts w:cstheme="minorHAnsi"/>
          <w:sz w:val="20"/>
          <w:szCs w:val="20"/>
        </w:rPr>
        <w:t>investiga</w:t>
      </w:r>
      <w:proofErr w:type="spellEnd"/>
      <w:r w:rsidRPr="007B4FD4">
        <w:rPr>
          <w:rFonts w:cstheme="minorHAnsi"/>
          <w:sz w:val="20"/>
          <w:szCs w:val="20"/>
        </w:rPr>
        <w:t xml:space="preserve">. 2018;8(2):79-90. </w:t>
      </w:r>
      <w:r w:rsidR="008E47CB">
        <w:rPr>
          <w:rFonts w:cstheme="minorHAnsi"/>
          <w:sz w:val="20"/>
          <w:szCs w:val="20"/>
        </w:rPr>
        <w:t>D</w:t>
      </w:r>
      <w:r w:rsidRPr="007B4FD4">
        <w:rPr>
          <w:rFonts w:cstheme="minorHAnsi"/>
          <w:sz w:val="20"/>
          <w:szCs w:val="20"/>
        </w:rPr>
        <w:t>oi: 10.30552/</w:t>
      </w:r>
      <w:proofErr w:type="gramStart"/>
      <w:r w:rsidRPr="007B4FD4">
        <w:rPr>
          <w:rFonts w:cstheme="minorHAnsi"/>
          <w:sz w:val="20"/>
          <w:szCs w:val="20"/>
        </w:rPr>
        <w:t>ejihpe.v</w:t>
      </w:r>
      <w:proofErr w:type="gramEnd"/>
      <w:r w:rsidRPr="007B4FD4">
        <w:rPr>
          <w:rFonts w:cstheme="minorHAnsi"/>
          <w:sz w:val="20"/>
          <w:szCs w:val="20"/>
        </w:rPr>
        <w:t>8i2.246</w:t>
      </w:r>
    </w:p>
    <w:p w14:paraId="48D89567" w14:textId="7115B927" w:rsidR="00FF6DA2" w:rsidRPr="007B4FD4" w:rsidRDefault="0021672A" w:rsidP="007B4FD4">
      <w:pPr>
        <w:numPr>
          <w:ilvl w:val="0"/>
          <w:numId w:val="20"/>
        </w:numPr>
        <w:spacing w:after="0" w:line="240" w:lineRule="auto"/>
        <w:ind w:left="360"/>
        <w:contextualSpacing/>
        <w:jc w:val="both"/>
        <w:rPr>
          <w:rFonts w:cstheme="minorHAnsi"/>
          <w:sz w:val="20"/>
          <w:szCs w:val="20"/>
        </w:rPr>
      </w:pPr>
      <w:proofErr w:type="spellStart"/>
      <w:r w:rsidRPr="007B4FD4">
        <w:rPr>
          <w:rFonts w:cstheme="minorHAnsi"/>
          <w:sz w:val="20"/>
          <w:szCs w:val="20"/>
        </w:rPr>
        <w:t>Sarafraz</w:t>
      </w:r>
      <w:proofErr w:type="spellEnd"/>
      <w:r w:rsidRPr="007B4FD4">
        <w:rPr>
          <w:rFonts w:cstheme="minorHAnsi"/>
          <w:sz w:val="20"/>
          <w:szCs w:val="20"/>
        </w:rPr>
        <w:t xml:space="preserve"> M, Saki N, </w:t>
      </w:r>
      <w:proofErr w:type="spellStart"/>
      <w:r w:rsidRPr="007B4FD4">
        <w:rPr>
          <w:rFonts w:cstheme="minorHAnsi"/>
          <w:sz w:val="20"/>
          <w:szCs w:val="20"/>
        </w:rPr>
        <w:t>Nikakhlagh</w:t>
      </w:r>
      <w:proofErr w:type="spellEnd"/>
      <w:r w:rsidRPr="007B4FD4">
        <w:rPr>
          <w:rFonts w:cstheme="minorHAnsi"/>
          <w:sz w:val="20"/>
          <w:szCs w:val="20"/>
        </w:rPr>
        <w:t xml:space="preserve"> S, </w:t>
      </w:r>
      <w:proofErr w:type="spellStart"/>
      <w:r w:rsidRPr="007B4FD4">
        <w:rPr>
          <w:rFonts w:cstheme="minorHAnsi"/>
          <w:sz w:val="20"/>
          <w:szCs w:val="20"/>
        </w:rPr>
        <w:t>Maleki</w:t>
      </w:r>
      <w:proofErr w:type="spellEnd"/>
      <w:r w:rsidRPr="007B4FD4">
        <w:rPr>
          <w:rFonts w:cstheme="minorHAnsi"/>
          <w:sz w:val="20"/>
          <w:szCs w:val="20"/>
        </w:rPr>
        <w:t xml:space="preserve"> M, </w:t>
      </w:r>
      <w:proofErr w:type="spellStart"/>
      <w:r w:rsidRPr="007B4FD4">
        <w:rPr>
          <w:rFonts w:cstheme="minorHAnsi"/>
          <w:sz w:val="20"/>
          <w:szCs w:val="20"/>
        </w:rPr>
        <w:t>Jonaky</w:t>
      </w:r>
      <w:proofErr w:type="spellEnd"/>
      <w:r w:rsidRPr="007B4FD4">
        <w:rPr>
          <w:rFonts w:cstheme="minorHAnsi"/>
          <w:sz w:val="20"/>
          <w:szCs w:val="20"/>
        </w:rPr>
        <w:t xml:space="preserve"> R.S. Distribution of Audiometric Findings in Patients with Presbycusis. Biomed </w:t>
      </w:r>
      <w:proofErr w:type="spellStart"/>
      <w:r w:rsidRPr="007B4FD4">
        <w:rPr>
          <w:rFonts w:cstheme="minorHAnsi"/>
          <w:sz w:val="20"/>
          <w:szCs w:val="20"/>
        </w:rPr>
        <w:t>Pharmacol</w:t>
      </w:r>
      <w:proofErr w:type="spellEnd"/>
      <w:r w:rsidRPr="007B4FD4">
        <w:rPr>
          <w:rFonts w:cstheme="minorHAnsi"/>
          <w:sz w:val="20"/>
          <w:szCs w:val="20"/>
        </w:rPr>
        <w:t xml:space="preserve"> J. 2015;8 (March </w:t>
      </w:r>
      <w:proofErr w:type="spellStart"/>
      <w:r w:rsidRPr="007B4FD4">
        <w:rPr>
          <w:rFonts w:cstheme="minorHAnsi"/>
          <w:sz w:val="20"/>
          <w:szCs w:val="20"/>
        </w:rPr>
        <w:t>Spl</w:t>
      </w:r>
      <w:proofErr w:type="spellEnd"/>
      <w:r w:rsidRPr="007B4FD4">
        <w:rPr>
          <w:rFonts w:cstheme="minorHAnsi"/>
          <w:sz w:val="20"/>
          <w:szCs w:val="20"/>
        </w:rPr>
        <w:t xml:space="preserve"> Edition)</w:t>
      </w:r>
      <w:r w:rsidR="00FF6DA2" w:rsidRPr="007B4FD4">
        <w:rPr>
          <w:rFonts w:cstheme="minorHAnsi"/>
          <w:sz w:val="20"/>
          <w:szCs w:val="20"/>
        </w:rPr>
        <w:t>.</w:t>
      </w:r>
    </w:p>
    <w:p w14:paraId="24FF0AC5" w14:textId="33D26326" w:rsidR="0077079A" w:rsidRPr="007B4FD4" w:rsidRDefault="0077079A" w:rsidP="007B4FD4">
      <w:pPr>
        <w:numPr>
          <w:ilvl w:val="0"/>
          <w:numId w:val="20"/>
        </w:numPr>
        <w:spacing w:after="0" w:line="240" w:lineRule="auto"/>
        <w:ind w:left="360"/>
        <w:contextualSpacing/>
        <w:jc w:val="both"/>
        <w:rPr>
          <w:rFonts w:cstheme="minorHAnsi"/>
          <w:sz w:val="20"/>
          <w:szCs w:val="20"/>
        </w:rPr>
      </w:pPr>
      <w:r w:rsidRPr="007B4FD4">
        <w:rPr>
          <w:rFonts w:cstheme="minorHAnsi"/>
          <w:sz w:val="20"/>
          <w:szCs w:val="20"/>
        </w:rPr>
        <w:t>Wang J, Puel JL. Presbycusis: An Update on Cochlear Mechanisms and Therapies. J Clin Med. 2020 Jan 14;9(1):2</w:t>
      </w:r>
      <w:r w:rsidR="00483801" w:rsidRPr="007B4FD4">
        <w:rPr>
          <w:rFonts w:cstheme="minorHAnsi"/>
          <w:sz w:val="20"/>
          <w:szCs w:val="20"/>
        </w:rPr>
        <w:t>0</w:t>
      </w:r>
      <w:r w:rsidRPr="007B4FD4">
        <w:rPr>
          <w:rFonts w:cstheme="minorHAnsi"/>
          <w:sz w:val="20"/>
          <w:szCs w:val="20"/>
        </w:rPr>
        <w:t xml:space="preserve">18. </w:t>
      </w:r>
      <w:r w:rsidR="008E47CB">
        <w:rPr>
          <w:rFonts w:cstheme="minorHAnsi"/>
          <w:sz w:val="20"/>
          <w:szCs w:val="20"/>
        </w:rPr>
        <w:t>D</w:t>
      </w:r>
      <w:r w:rsidRPr="007B4FD4">
        <w:rPr>
          <w:rFonts w:cstheme="minorHAnsi"/>
          <w:sz w:val="20"/>
          <w:szCs w:val="20"/>
        </w:rPr>
        <w:t xml:space="preserve">oi: 10.3390/jcm9010218. </w:t>
      </w:r>
    </w:p>
    <w:p w14:paraId="674CE24F" w14:textId="1E4E5494" w:rsidR="0077079A" w:rsidRPr="007B4FD4" w:rsidRDefault="0077079A" w:rsidP="007B4FD4">
      <w:pPr>
        <w:numPr>
          <w:ilvl w:val="0"/>
          <w:numId w:val="20"/>
        </w:numPr>
        <w:spacing w:after="0" w:line="240" w:lineRule="auto"/>
        <w:ind w:left="360"/>
        <w:contextualSpacing/>
        <w:jc w:val="both"/>
        <w:rPr>
          <w:rFonts w:cstheme="minorHAnsi"/>
          <w:sz w:val="20"/>
          <w:szCs w:val="20"/>
        </w:rPr>
      </w:pPr>
      <w:proofErr w:type="spellStart"/>
      <w:r w:rsidRPr="007B4FD4">
        <w:rPr>
          <w:rFonts w:cstheme="minorHAnsi"/>
          <w:sz w:val="20"/>
          <w:szCs w:val="20"/>
        </w:rPr>
        <w:t>Wasano</w:t>
      </w:r>
      <w:proofErr w:type="spellEnd"/>
      <w:r w:rsidRPr="007B4FD4">
        <w:rPr>
          <w:rFonts w:cstheme="minorHAnsi"/>
          <w:sz w:val="20"/>
          <w:szCs w:val="20"/>
        </w:rPr>
        <w:t xml:space="preserve"> K, </w:t>
      </w:r>
      <w:proofErr w:type="spellStart"/>
      <w:r w:rsidRPr="007B4FD4">
        <w:rPr>
          <w:rFonts w:cstheme="minorHAnsi"/>
          <w:sz w:val="20"/>
          <w:szCs w:val="20"/>
        </w:rPr>
        <w:t>Kaga</w:t>
      </w:r>
      <w:proofErr w:type="spellEnd"/>
      <w:r w:rsidRPr="007B4FD4">
        <w:rPr>
          <w:rFonts w:cstheme="minorHAnsi"/>
          <w:sz w:val="20"/>
          <w:szCs w:val="20"/>
        </w:rPr>
        <w:t xml:space="preserve"> K, Ogawa K. Patterns of hearing changes in women and men from denarians to nonagenarians. 2021;</w:t>
      </w:r>
      <w:r w:rsidR="008E47CB">
        <w:rPr>
          <w:rFonts w:cstheme="minorHAnsi"/>
          <w:sz w:val="20"/>
          <w:szCs w:val="20"/>
        </w:rPr>
        <w:t xml:space="preserve"> </w:t>
      </w:r>
      <w:r w:rsidRPr="007B4FD4">
        <w:rPr>
          <w:rFonts w:cstheme="minorHAnsi"/>
          <w:sz w:val="20"/>
          <w:szCs w:val="20"/>
        </w:rPr>
        <w:t>9:100131. Doi:</w:t>
      </w:r>
      <w:r w:rsidR="008E47CB">
        <w:rPr>
          <w:rFonts w:cstheme="minorHAnsi"/>
          <w:sz w:val="20"/>
          <w:szCs w:val="20"/>
        </w:rPr>
        <w:t xml:space="preserve"> </w:t>
      </w:r>
      <w:r w:rsidRPr="007B4FD4">
        <w:rPr>
          <w:rFonts w:cstheme="minorHAnsi"/>
          <w:sz w:val="20"/>
          <w:szCs w:val="20"/>
        </w:rPr>
        <w:t>10.1016/j.lanwpc.2021.100131</w:t>
      </w:r>
    </w:p>
    <w:p w14:paraId="45806EE2" w14:textId="1696781D" w:rsidR="00FF6DA2" w:rsidRPr="007B4FD4" w:rsidRDefault="00FF6DA2" w:rsidP="007B4FD4">
      <w:pPr>
        <w:numPr>
          <w:ilvl w:val="0"/>
          <w:numId w:val="20"/>
        </w:numPr>
        <w:spacing w:after="0" w:line="240" w:lineRule="auto"/>
        <w:ind w:left="360"/>
        <w:contextualSpacing/>
        <w:jc w:val="both"/>
        <w:rPr>
          <w:rFonts w:cstheme="minorHAnsi"/>
          <w:sz w:val="20"/>
          <w:szCs w:val="20"/>
        </w:rPr>
      </w:pPr>
      <w:proofErr w:type="spellStart"/>
      <w:r w:rsidRPr="007B4FD4">
        <w:rPr>
          <w:rFonts w:cstheme="minorHAnsi"/>
          <w:sz w:val="20"/>
          <w:szCs w:val="20"/>
        </w:rPr>
        <w:t>Sogebi</w:t>
      </w:r>
      <w:proofErr w:type="spellEnd"/>
      <w:r w:rsidRPr="007B4FD4">
        <w:rPr>
          <w:rFonts w:cstheme="minorHAnsi"/>
          <w:sz w:val="20"/>
          <w:szCs w:val="20"/>
        </w:rPr>
        <w:t xml:space="preserve"> OA, </w:t>
      </w:r>
      <w:proofErr w:type="spellStart"/>
      <w:r w:rsidRPr="007B4FD4">
        <w:rPr>
          <w:rFonts w:cstheme="minorHAnsi"/>
          <w:sz w:val="20"/>
          <w:szCs w:val="20"/>
        </w:rPr>
        <w:t>Olusoga</w:t>
      </w:r>
      <w:proofErr w:type="spellEnd"/>
      <w:r w:rsidRPr="007B4FD4">
        <w:rPr>
          <w:rFonts w:cstheme="minorHAnsi"/>
          <w:sz w:val="20"/>
          <w:szCs w:val="20"/>
        </w:rPr>
        <w:t xml:space="preserve">-Peters OO, </w:t>
      </w:r>
      <w:proofErr w:type="spellStart"/>
      <w:r w:rsidRPr="007B4FD4">
        <w:rPr>
          <w:rFonts w:cstheme="minorHAnsi"/>
          <w:sz w:val="20"/>
          <w:szCs w:val="20"/>
        </w:rPr>
        <w:t>Oluwapelumi</w:t>
      </w:r>
      <w:proofErr w:type="spellEnd"/>
      <w:r w:rsidRPr="007B4FD4">
        <w:rPr>
          <w:rFonts w:cstheme="minorHAnsi"/>
          <w:sz w:val="20"/>
          <w:szCs w:val="20"/>
        </w:rPr>
        <w:t xml:space="preserve"> O. Clinical and audiometric features of presbycusis in Nigerians. </w:t>
      </w:r>
      <w:r w:rsidR="00E04893" w:rsidRPr="007B4FD4">
        <w:rPr>
          <w:rFonts w:cstheme="minorHAnsi"/>
          <w:sz w:val="20"/>
          <w:szCs w:val="20"/>
        </w:rPr>
        <w:t>Afr. Health Sci.</w:t>
      </w:r>
      <w:r w:rsidRPr="007B4FD4">
        <w:rPr>
          <w:rFonts w:cstheme="minorHAnsi"/>
          <w:sz w:val="20"/>
          <w:szCs w:val="20"/>
        </w:rPr>
        <w:t xml:space="preserve"> 2013;13(4):886-892</w:t>
      </w:r>
      <w:r w:rsidR="009B591E" w:rsidRPr="007B4FD4">
        <w:rPr>
          <w:rFonts w:cstheme="minorHAnsi"/>
          <w:sz w:val="20"/>
          <w:szCs w:val="20"/>
        </w:rPr>
        <w:t>.</w:t>
      </w:r>
    </w:p>
    <w:p w14:paraId="6B2A9AD5" w14:textId="1CD50D1E" w:rsidR="00FF6DA2" w:rsidRPr="007B4FD4" w:rsidRDefault="00FF6DA2" w:rsidP="007B4FD4">
      <w:pPr>
        <w:numPr>
          <w:ilvl w:val="0"/>
          <w:numId w:val="20"/>
        </w:numPr>
        <w:spacing w:after="0" w:line="240" w:lineRule="auto"/>
        <w:ind w:left="360"/>
        <w:contextualSpacing/>
        <w:jc w:val="both"/>
        <w:rPr>
          <w:rFonts w:cstheme="minorHAnsi"/>
          <w:sz w:val="20"/>
          <w:szCs w:val="20"/>
        </w:rPr>
      </w:pPr>
      <w:proofErr w:type="spellStart"/>
      <w:r w:rsidRPr="007B4FD4">
        <w:rPr>
          <w:rFonts w:cstheme="minorHAnsi"/>
          <w:sz w:val="20"/>
          <w:szCs w:val="20"/>
        </w:rPr>
        <w:t>Demeester</w:t>
      </w:r>
      <w:proofErr w:type="spellEnd"/>
      <w:r w:rsidRPr="007B4FD4">
        <w:rPr>
          <w:rFonts w:cstheme="minorHAnsi"/>
          <w:sz w:val="20"/>
          <w:szCs w:val="20"/>
        </w:rPr>
        <w:t xml:space="preserve"> K, van </w:t>
      </w:r>
      <w:proofErr w:type="spellStart"/>
      <w:r w:rsidRPr="007B4FD4">
        <w:rPr>
          <w:rFonts w:cstheme="minorHAnsi"/>
          <w:sz w:val="20"/>
          <w:szCs w:val="20"/>
        </w:rPr>
        <w:t>Wieringen</w:t>
      </w:r>
      <w:proofErr w:type="spellEnd"/>
      <w:r w:rsidRPr="007B4FD4">
        <w:rPr>
          <w:rFonts w:cstheme="minorHAnsi"/>
          <w:sz w:val="20"/>
          <w:szCs w:val="20"/>
        </w:rPr>
        <w:t xml:space="preserve"> A,</w:t>
      </w:r>
      <w:r w:rsidR="009B591E" w:rsidRPr="007B4FD4">
        <w:rPr>
          <w:rFonts w:cstheme="minorHAnsi"/>
          <w:sz w:val="20"/>
          <w:szCs w:val="20"/>
        </w:rPr>
        <w:t xml:space="preserve"> </w:t>
      </w:r>
      <w:proofErr w:type="spellStart"/>
      <w:r w:rsidRPr="007B4FD4">
        <w:rPr>
          <w:rFonts w:cstheme="minorHAnsi"/>
          <w:sz w:val="20"/>
          <w:szCs w:val="20"/>
        </w:rPr>
        <w:t>Hendrickx</w:t>
      </w:r>
      <w:proofErr w:type="spellEnd"/>
      <w:r w:rsidRPr="007B4FD4">
        <w:rPr>
          <w:rFonts w:cstheme="minorHAnsi"/>
          <w:sz w:val="20"/>
          <w:szCs w:val="20"/>
        </w:rPr>
        <w:t xml:space="preserve"> JJ,</w:t>
      </w:r>
      <w:r w:rsidR="009B591E" w:rsidRPr="007B4FD4">
        <w:rPr>
          <w:rFonts w:cstheme="minorHAnsi"/>
          <w:sz w:val="20"/>
          <w:szCs w:val="20"/>
        </w:rPr>
        <w:t xml:space="preserve"> </w:t>
      </w:r>
      <w:proofErr w:type="spellStart"/>
      <w:r w:rsidRPr="007B4FD4">
        <w:rPr>
          <w:rFonts w:cstheme="minorHAnsi"/>
          <w:sz w:val="20"/>
          <w:szCs w:val="20"/>
        </w:rPr>
        <w:t>Topsakal</w:t>
      </w:r>
      <w:proofErr w:type="spellEnd"/>
      <w:r w:rsidRPr="007B4FD4">
        <w:rPr>
          <w:rFonts w:cstheme="minorHAnsi"/>
          <w:sz w:val="20"/>
          <w:szCs w:val="20"/>
        </w:rPr>
        <w:t xml:space="preserve"> V,</w:t>
      </w:r>
      <w:r w:rsidR="009B591E" w:rsidRPr="007B4FD4">
        <w:rPr>
          <w:rFonts w:cstheme="minorHAnsi"/>
          <w:sz w:val="20"/>
          <w:szCs w:val="20"/>
        </w:rPr>
        <w:t xml:space="preserve"> </w:t>
      </w:r>
      <w:proofErr w:type="spellStart"/>
      <w:r w:rsidRPr="007B4FD4">
        <w:rPr>
          <w:rFonts w:cstheme="minorHAnsi"/>
          <w:sz w:val="20"/>
          <w:szCs w:val="20"/>
        </w:rPr>
        <w:t>Fransen</w:t>
      </w:r>
      <w:proofErr w:type="spellEnd"/>
      <w:r w:rsidRPr="007B4FD4">
        <w:rPr>
          <w:rFonts w:cstheme="minorHAnsi"/>
          <w:sz w:val="20"/>
          <w:szCs w:val="20"/>
        </w:rPr>
        <w:t xml:space="preserve"> </w:t>
      </w:r>
      <w:proofErr w:type="spellStart"/>
      <w:proofErr w:type="gramStart"/>
      <w:r w:rsidRPr="007B4FD4">
        <w:rPr>
          <w:rFonts w:cstheme="minorHAnsi"/>
          <w:sz w:val="20"/>
          <w:szCs w:val="20"/>
        </w:rPr>
        <w:t>E,van</w:t>
      </w:r>
      <w:proofErr w:type="spellEnd"/>
      <w:proofErr w:type="gramEnd"/>
      <w:r w:rsidRPr="007B4FD4">
        <w:rPr>
          <w:rFonts w:cstheme="minorHAnsi"/>
          <w:sz w:val="20"/>
          <w:szCs w:val="20"/>
        </w:rPr>
        <w:t xml:space="preserve"> </w:t>
      </w:r>
      <w:proofErr w:type="spellStart"/>
      <w:r w:rsidRPr="007B4FD4">
        <w:rPr>
          <w:rFonts w:cstheme="minorHAnsi"/>
          <w:sz w:val="20"/>
          <w:szCs w:val="20"/>
        </w:rPr>
        <w:t>Laer</w:t>
      </w:r>
      <w:proofErr w:type="spellEnd"/>
      <w:r w:rsidRPr="007B4FD4">
        <w:rPr>
          <w:rFonts w:cstheme="minorHAnsi"/>
          <w:sz w:val="20"/>
          <w:szCs w:val="20"/>
        </w:rPr>
        <w:t xml:space="preserve"> L</w:t>
      </w:r>
      <w:r w:rsidR="009B591E" w:rsidRPr="007B4FD4">
        <w:rPr>
          <w:rFonts w:cstheme="minorHAnsi"/>
          <w:sz w:val="20"/>
          <w:szCs w:val="20"/>
        </w:rPr>
        <w:t xml:space="preserve">, </w:t>
      </w:r>
      <w:r w:rsidRPr="007B4FD4">
        <w:rPr>
          <w:rFonts w:cstheme="minorHAnsi"/>
          <w:sz w:val="20"/>
          <w:szCs w:val="20"/>
        </w:rPr>
        <w:t xml:space="preserve">et al. Audiometric shape and presbycusis. Int J </w:t>
      </w:r>
      <w:proofErr w:type="spellStart"/>
      <w:r w:rsidRPr="007B4FD4">
        <w:rPr>
          <w:rFonts w:cstheme="minorHAnsi"/>
          <w:sz w:val="20"/>
          <w:szCs w:val="20"/>
        </w:rPr>
        <w:t>Audiol</w:t>
      </w:r>
      <w:proofErr w:type="spellEnd"/>
      <w:r w:rsidRPr="007B4FD4">
        <w:rPr>
          <w:rFonts w:cstheme="minorHAnsi"/>
          <w:sz w:val="20"/>
          <w:szCs w:val="20"/>
        </w:rPr>
        <w:t xml:space="preserve">. 2009;48(4):222-32. </w:t>
      </w:r>
      <w:r w:rsidR="008E47CB">
        <w:rPr>
          <w:rFonts w:cstheme="minorHAnsi"/>
          <w:sz w:val="20"/>
          <w:szCs w:val="20"/>
        </w:rPr>
        <w:t>D</w:t>
      </w:r>
      <w:r w:rsidRPr="007B4FD4">
        <w:rPr>
          <w:rFonts w:cstheme="minorHAnsi"/>
          <w:sz w:val="20"/>
          <w:szCs w:val="20"/>
        </w:rPr>
        <w:t xml:space="preserve">oi: 10.1080/14992020802441799 </w:t>
      </w:r>
    </w:p>
    <w:p w14:paraId="5C82C933" w14:textId="77777777" w:rsidR="00FF6DA2" w:rsidRPr="007B4FD4" w:rsidRDefault="00FF6DA2" w:rsidP="007B4FD4">
      <w:pPr>
        <w:numPr>
          <w:ilvl w:val="0"/>
          <w:numId w:val="20"/>
        </w:numPr>
        <w:spacing w:after="0" w:line="240" w:lineRule="auto"/>
        <w:ind w:left="360"/>
        <w:contextualSpacing/>
        <w:jc w:val="both"/>
        <w:rPr>
          <w:rFonts w:cstheme="minorHAnsi"/>
          <w:sz w:val="20"/>
          <w:szCs w:val="20"/>
        </w:rPr>
      </w:pPr>
      <w:r w:rsidRPr="007B4FD4">
        <w:rPr>
          <w:rFonts w:cstheme="minorHAnsi"/>
          <w:sz w:val="20"/>
          <w:szCs w:val="20"/>
        </w:rPr>
        <w:t xml:space="preserve">Fei J, Lei L, </w:t>
      </w:r>
      <w:proofErr w:type="spellStart"/>
      <w:r w:rsidRPr="007B4FD4">
        <w:rPr>
          <w:rFonts w:cstheme="minorHAnsi"/>
          <w:sz w:val="20"/>
          <w:szCs w:val="20"/>
        </w:rPr>
        <w:t>Su</w:t>
      </w:r>
      <w:proofErr w:type="spellEnd"/>
      <w:r w:rsidRPr="007B4FD4">
        <w:rPr>
          <w:rFonts w:cstheme="minorHAnsi"/>
          <w:sz w:val="20"/>
          <w:szCs w:val="20"/>
        </w:rPr>
        <w:t xml:space="preserve">-ping Z, </w:t>
      </w:r>
      <w:proofErr w:type="spellStart"/>
      <w:r w:rsidRPr="007B4FD4">
        <w:rPr>
          <w:rFonts w:cstheme="minorHAnsi"/>
          <w:sz w:val="20"/>
          <w:szCs w:val="20"/>
        </w:rPr>
        <w:t>Ke</w:t>
      </w:r>
      <w:proofErr w:type="spellEnd"/>
      <w:r w:rsidRPr="007B4FD4">
        <w:rPr>
          <w:rFonts w:cstheme="minorHAnsi"/>
          <w:sz w:val="20"/>
          <w:szCs w:val="20"/>
        </w:rPr>
        <w:t>-fang L, Qi-you Z, Shi-</w:t>
      </w:r>
      <w:proofErr w:type="spellStart"/>
      <w:r w:rsidRPr="007B4FD4">
        <w:rPr>
          <w:rFonts w:cstheme="minorHAnsi"/>
          <w:sz w:val="20"/>
          <w:szCs w:val="20"/>
        </w:rPr>
        <w:t>ming</w:t>
      </w:r>
      <w:proofErr w:type="spellEnd"/>
      <w:r w:rsidRPr="007B4FD4">
        <w:rPr>
          <w:rFonts w:cstheme="minorHAnsi"/>
          <w:sz w:val="20"/>
          <w:szCs w:val="20"/>
        </w:rPr>
        <w:t xml:space="preserve"> Y. An investigation into hearing loss among patients of 50 years or older. J Otol. 2011;6(1):44-49.</w:t>
      </w:r>
    </w:p>
    <w:p w14:paraId="6E17C54F" w14:textId="040E8B34" w:rsidR="0077079A" w:rsidRPr="007B4FD4" w:rsidRDefault="0077079A" w:rsidP="007B4FD4">
      <w:pPr>
        <w:numPr>
          <w:ilvl w:val="0"/>
          <w:numId w:val="20"/>
        </w:numPr>
        <w:spacing w:after="0" w:line="240" w:lineRule="auto"/>
        <w:ind w:left="360"/>
        <w:contextualSpacing/>
        <w:jc w:val="both"/>
        <w:rPr>
          <w:rFonts w:cstheme="minorHAnsi"/>
          <w:sz w:val="20"/>
          <w:szCs w:val="20"/>
        </w:rPr>
      </w:pPr>
      <w:r w:rsidRPr="007B4FD4">
        <w:rPr>
          <w:rFonts w:cstheme="minorHAnsi"/>
          <w:sz w:val="20"/>
          <w:szCs w:val="20"/>
        </w:rPr>
        <w:t xml:space="preserve">Wu PZ, O'Malley JT, de </w:t>
      </w:r>
      <w:proofErr w:type="spellStart"/>
      <w:r w:rsidRPr="007B4FD4">
        <w:rPr>
          <w:rFonts w:cstheme="minorHAnsi"/>
          <w:sz w:val="20"/>
          <w:szCs w:val="20"/>
        </w:rPr>
        <w:t>Gruttola</w:t>
      </w:r>
      <w:proofErr w:type="spellEnd"/>
      <w:r w:rsidRPr="007B4FD4">
        <w:rPr>
          <w:rFonts w:cstheme="minorHAnsi"/>
          <w:sz w:val="20"/>
          <w:szCs w:val="20"/>
        </w:rPr>
        <w:t xml:space="preserve"> V, Liberman MC. Age-Related Hearing Loss Is Dominated by Damage to Inner Ear Sensory Cells, Not the Cellular Battery That Powers Them. J </w:t>
      </w:r>
      <w:proofErr w:type="spellStart"/>
      <w:r w:rsidRPr="007B4FD4">
        <w:rPr>
          <w:rFonts w:cstheme="minorHAnsi"/>
          <w:sz w:val="20"/>
          <w:szCs w:val="20"/>
        </w:rPr>
        <w:t>Neurosci</w:t>
      </w:r>
      <w:proofErr w:type="spellEnd"/>
      <w:r w:rsidRPr="007B4FD4">
        <w:rPr>
          <w:rFonts w:cstheme="minorHAnsi"/>
          <w:sz w:val="20"/>
          <w:szCs w:val="20"/>
        </w:rPr>
        <w:t xml:space="preserve">. 2020 Aug 12;40(33):6357-6366. </w:t>
      </w:r>
      <w:r w:rsidR="008E47CB">
        <w:rPr>
          <w:rFonts w:cstheme="minorHAnsi"/>
          <w:sz w:val="20"/>
          <w:szCs w:val="20"/>
        </w:rPr>
        <w:t>D</w:t>
      </w:r>
      <w:r w:rsidRPr="007B4FD4">
        <w:rPr>
          <w:rFonts w:cstheme="minorHAnsi"/>
          <w:sz w:val="20"/>
          <w:szCs w:val="20"/>
        </w:rPr>
        <w:t>oi: 10.1523/JNEUROSCI.0937-20.2020</w:t>
      </w:r>
    </w:p>
    <w:p w14:paraId="1916086E" w14:textId="7D4E3508" w:rsidR="000F6131" w:rsidRDefault="0077079A" w:rsidP="007B4FD4">
      <w:pPr>
        <w:numPr>
          <w:ilvl w:val="0"/>
          <w:numId w:val="20"/>
        </w:numPr>
        <w:spacing w:after="0" w:line="240" w:lineRule="auto"/>
        <w:ind w:left="360"/>
        <w:contextualSpacing/>
        <w:jc w:val="both"/>
        <w:rPr>
          <w:rFonts w:cstheme="minorHAnsi"/>
          <w:sz w:val="20"/>
          <w:szCs w:val="20"/>
        </w:rPr>
        <w:sectPr w:rsidR="000F6131" w:rsidSect="005A0E97">
          <w:footerReference w:type="default" r:id="rId16"/>
          <w:type w:val="continuous"/>
          <w:pgSz w:w="12240" w:h="15840"/>
          <w:pgMar w:top="1296" w:right="1296" w:bottom="1296" w:left="1296" w:header="576" w:footer="576" w:gutter="0"/>
          <w:cols w:num="2" w:space="360"/>
          <w:docGrid w:linePitch="360"/>
        </w:sectPr>
      </w:pPr>
      <w:r w:rsidRPr="007B4FD4">
        <w:rPr>
          <w:rFonts w:cstheme="minorHAnsi"/>
          <w:sz w:val="20"/>
          <w:szCs w:val="20"/>
        </w:rPr>
        <w:t xml:space="preserve"> </w:t>
      </w:r>
      <w:proofErr w:type="spellStart"/>
      <w:r w:rsidRPr="007B4FD4">
        <w:rPr>
          <w:rFonts w:cstheme="minorHAnsi"/>
          <w:sz w:val="20"/>
          <w:szCs w:val="20"/>
        </w:rPr>
        <w:t>Rigters</w:t>
      </w:r>
      <w:proofErr w:type="spellEnd"/>
      <w:r w:rsidRPr="007B4FD4">
        <w:rPr>
          <w:rFonts w:cstheme="minorHAnsi"/>
          <w:sz w:val="20"/>
          <w:szCs w:val="20"/>
        </w:rPr>
        <w:t xml:space="preserve"> SC, van der </w:t>
      </w:r>
      <w:proofErr w:type="spellStart"/>
      <w:r w:rsidRPr="007B4FD4">
        <w:rPr>
          <w:rFonts w:cstheme="minorHAnsi"/>
          <w:sz w:val="20"/>
          <w:szCs w:val="20"/>
        </w:rPr>
        <w:t>Schroeff</w:t>
      </w:r>
      <w:proofErr w:type="spellEnd"/>
      <w:r w:rsidRPr="007B4FD4">
        <w:rPr>
          <w:rFonts w:cstheme="minorHAnsi"/>
          <w:sz w:val="20"/>
          <w:szCs w:val="20"/>
        </w:rPr>
        <w:t xml:space="preserve"> MP, </w:t>
      </w:r>
      <w:proofErr w:type="spellStart"/>
      <w:r w:rsidRPr="007B4FD4">
        <w:rPr>
          <w:rFonts w:cstheme="minorHAnsi"/>
          <w:sz w:val="20"/>
          <w:szCs w:val="20"/>
        </w:rPr>
        <w:t>Papageorgiou</w:t>
      </w:r>
      <w:proofErr w:type="spellEnd"/>
      <w:r w:rsidRPr="007B4FD4">
        <w:rPr>
          <w:rFonts w:cstheme="minorHAnsi"/>
          <w:sz w:val="20"/>
          <w:szCs w:val="20"/>
        </w:rPr>
        <w:t xml:space="preserve"> G, </w:t>
      </w:r>
      <w:proofErr w:type="spellStart"/>
      <w:r w:rsidRPr="007B4FD4">
        <w:rPr>
          <w:rFonts w:cstheme="minorHAnsi"/>
          <w:sz w:val="20"/>
          <w:szCs w:val="20"/>
        </w:rPr>
        <w:t>Baatenburg</w:t>
      </w:r>
      <w:proofErr w:type="spellEnd"/>
      <w:r w:rsidRPr="007B4FD4">
        <w:rPr>
          <w:rFonts w:cstheme="minorHAnsi"/>
          <w:sz w:val="20"/>
          <w:szCs w:val="20"/>
        </w:rPr>
        <w:t xml:space="preserve"> de Jong RJ, </w:t>
      </w:r>
      <w:proofErr w:type="spellStart"/>
      <w:r w:rsidRPr="007B4FD4">
        <w:rPr>
          <w:rFonts w:cstheme="minorHAnsi"/>
          <w:sz w:val="20"/>
          <w:szCs w:val="20"/>
        </w:rPr>
        <w:t>Geodegebure</w:t>
      </w:r>
      <w:proofErr w:type="spellEnd"/>
      <w:r w:rsidRPr="007B4FD4">
        <w:rPr>
          <w:rFonts w:cstheme="minorHAnsi"/>
          <w:sz w:val="20"/>
          <w:szCs w:val="20"/>
        </w:rPr>
        <w:t xml:space="preserve"> A. Progression of Hearing Loss in the Aging Population: Repeated Auditory Measurements in the Rotterdam Study. </w:t>
      </w:r>
      <w:proofErr w:type="spellStart"/>
      <w:r w:rsidRPr="007B4FD4">
        <w:rPr>
          <w:rFonts w:cstheme="minorHAnsi"/>
          <w:sz w:val="20"/>
          <w:szCs w:val="20"/>
        </w:rPr>
        <w:t>Audiol</w:t>
      </w:r>
      <w:proofErr w:type="spellEnd"/>
      <w:r w:rsidRPr="007B4FD4">
        <w:rPr>
          <w:rFonts w:cstheme="minorHAnsi"/>
          <w:sz w:val="20"/>
          <w:szCs w:val="20"/>
        </w:rPr>
        <w:t xml:space="preserve"> </w:t>
      </w:r>
      <w:proofErr w:type="spellStart"/>
      <w:r w:rsidRPr="007B4FD4">
        <w:rPr>
          <w:rFonts w:cstheme="minorHAnsi"/>
          <w:sz w:val="20"/>
          <w:szCs w:val="20"/>
        </w:rPr>
        <w:t>Neurotol</w:t>
      </w:r>
      <w:proofErr w:type="spellEnd"/>
      <w:r w:rsidRPr="007B4FD4">
        <w:rPr>
          <w:rFonts w:cstheme="minorHAnsi"/>
          <w:sz w:val="20"/>
          <w:szCs w:val="20"/>
        </w:rPr>
        <w:t xml:space="preserve"> 2018;</w:t>
      </w:r>
      <w:r w:rsidR="008E47CB">
        <w:rPr>
          <w:rFonts w:cstheme="minorHAnsi"/>
          <w:sz w:val="20"/>
          <w:szCs w:val="20"/>
        </w:rPr>
        <w:t xml:space="preserve"> </w:t>
      </w:r>
      <w:r w:rsidRPr="007B4FD4">
        <w:rPr>
          <w:rFonts w:cstheme="minorHAnsi"/>
          <w:sz w:val="20"/>
          <w:szCs w:val="20"/>
        </w:rPr>
        <w:t>23:290–297</w:t>
      </w:r>
    </w:p>
    <w:p w14:paraId="20F96C8D" w14:textId="5A696A0B" w:rsidR="0077079A" w:rsidRPr="007B4FD4" w:rsidRDefault="0077079A" w:rsidP="000F6131">
      <w:pPr>
        <w:spacing w:after="0" w:line="240" w:lineRule="auto"/>
        <w:contextualSpacing/>
        <w:jc w:val="both"/>
        <w:rPr>
          <w:rFonts w:cstheme="minorHAnsi"/>
          <w:sz w:val="20"/>
          <w:szCs w:val="20"/>
        </w:rPr>
      </w:pPr>
    </w:p>
    <w:p w14:paraId="04D6FC1F" w14:textId="77777777" w:rsidR="007B4FD4" w:rsidRPr="007B4FD4" w:rsidRDefault="007B4FD4" w:rsidP="003C6E88">
      <w:pPr>
        <w:spacing w:line="480" w:lineRule="auto"/>
        <w:ind w:left="360"/>
        <w:jc w:val="both"/>
        <w:rPr>
          <w:rFonts w:cstheme="minorHAnsi"/>
          <w:sz w:val="20"/>
          <w:szCs w:val="20"/>
        </w:rPr>
        <w:sectPr w:rsidR="007B4FD4" w:rsidRPr="007B4FD4" w:rsidSect="005226D8">
          <w:type w:val="continuous"/>
          <w:pgSz w:w="12240" w:h="15840"/>
          <w:pgMar w:top="1296" w:right="1296" w:bottom="1296" w:left="1296" w:header="720" w:footer="720" w:gutter="0"/>
          <w:cols w:num="2" w:space="360"/>
          <w:docGrid w:linePitch="360"/>
        </w:sectPr>
      </w:pPr>
    </w:p>
    <w:p w14:paraId="31DAA089" w14:textId="55DA0E45" w:rsidR="00B95AED" w:rsidRDefault="00B95AED" w:rsidP="003C6E88">
      <w:pPr>
        <w:spacing w:line="480" w:lineRule="auto"/>
        <w:ind w:left="360"/>
        <w:jc w:val="both"/>
        <w:rPr>
          <w:rFonts w:ascii="Times New Roman" w:hAnsi="Times New Roman" w:cs="Times New Roman"/>
          <w:sz w:val="24"/>
          <w:szCs w:val="24"/>
        </w:rPr>
      </w:pPr>
    </w:p>
    <w:sectPr w:rsidR="00B95AED" w:rsidSect="005226D8">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7BDC" w14:textId="77777777" w:rsidR="00CF0093" w:rsidRDefault="00CF0093" w:rsidP="007C562B">
      <w:pPr>
        <w:spacing w:after="0" w:line="240" w:lineRule="auto"/>
      </w:pPr>
      <w:r>
        <w:separator/>
      </w:r>
    </w:p>
  </w:endnote>
  <w:endnote w:type="continuationSeparator" w:id="0">
    <w:p w14:paraId="4803DE5F" w14:textId="77777777" w:rsidR="00CF0093" w:rsidRDefault="00CF0093" w:rsidP="007C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27433"/>
      <w:docPartObj>
        <w:docPartGallery w:val="Page Numbers (Bottom of Page)"/>
        <w:docPartUnique/>
      </w:docPartObj>
    </w:sdtPr>
    <w:sdtEndPr>
      <w:rPr>
        <w:noProof/>
      </w:rPr>
    </w:sdtEndPr>
    <w:sdtContent>
      <w:p w14:paraId="642F271C" w14:textId="4C2C3B5F" w:rsidR="005A0E97" w:rsidRDefault="005A0E97">
        <w:pPr>
          <w:pStyle w:val="Footer"/>
          <w:jc w:val="right"/>
        </w:pPr>
      </w:p>
    </w:sdtContent>
  </w:sdt>
  <w:p w14:paraId="648DD228" w14:textId="77777777" w:rsidR="005A0E97" w:rsidRPr="00660434" w:rsidRDefault="005A0E97" w:rsidP="005A0E97">
    <w:pPr>
      <w:pStyle w:val="Footer"/>
      <w:framePr w:w="662" w:h="259" w:hRule="exact" w:wrap="around" w:vAnchor="page" w:hAnchor="page" w:x="10398" w:y="15020"/>
      <w:shd w:val="clear" w:color="auto" w:fill="515151"/>
      <w:spacing w:after="200" w:line="276" w:lineRule="auto"/>
      <w:jc w:val="center"/>
      <w:rPr>
        <w:rStyle w:val="PageNumber"/>
        <w:rFonts w:ascii="Arial Narrow" w:hAnsi="Arial Narrow" w:cs="Arial"/>
        <w:color w:val="FFFFFF"/>
      </w:rPr>
    </w:pPr>
    <w:r w:rsidRPr="00660434">
      <w:rPr>
        <w:rStyle w:val="PageNumber"/>
        <w:rFonts w:ascii="Arial Narrow" w:hAnsi="Arial Narrow" w:cs="Arial"/>
        <w:color w:val="FFFFFF"/>
      </w:rPr>
      <w:fldChar w:fldCharType="begin"/>
    </w:r>
    <w:r w:rsidRPr="00660434">
      <w:rPr>
        <w:rStyle w:val="PageNumber"/>
        <w:rFonts w:ascii="Arial Narrow" w:hAnsi="Arial Narrow" w:cs="Arial"/>
        <w:color w:val="FFFFFF"/>
      </w:rPr>
      <w:instrText xml:space="preserve"> PAGE   \* MERGEFORMAT </w:instrText>
    </w:r>
    <w:r w:rsidRPr="00660434">
      <w:rPr>
        <w:rStyle w:val="PageNumber"/>
        <w:rFonts w:ascii="Arial Narrow" w:hAnsi="Arial Narrow" w:cs="Arial"/>
        <w:color w:val="FFFFFF"/>
      </w:rPr>
      <w:fldChar w:fldCharType="separate"/>
    </w:r>
    <w:r>
      <w:rPr>
        <w:rStyle w:val="PageNumber"/>
        <w:rFonts w:ascii="Arial Narrow" w:hAnsi="Arial Narrow" w:cs="Arial"/>
        <w:color w:val="FFFFFF"/>
      </w:rPr>
      <w:t>140</w:t>
    </w:r>
    <w:r w:rsidRPr="00660434">
      <w:rPr>
        <w:rStyle w:val="PageNumber"/>
        <w:rFonts w:ascii="Arial Narrow" w:hAnsi="Arial Narrow" w:cs="Arial"/>
        <w:noProof/>
        <w:color w:val="FFFFFF"/>
      </w:rPr>
      <w:fldChar w:fldCharType="end"/>
    </w:r>
  </w:p>
  <w:p w14:paraId="15DBE623" w14:textId="3CD5D707" w:rsidR="0003794A" w:rsidRPr="005A0E97" w:rsidRDefault="005A0E97" w:rsidP="005A0E97">
    <w:pPr>
      <w:pStyle w:val="Footer"/>
      <w:spacing w:line="276" w:lineRule="auto"/>
      <w:jc w:val="both"/>
    </w:pPr>
    <w:r>
      <w:rPr>
        <w:rFonts w:ascii="Times New Roman" w:hAnsi="Times New Roman"/>
        <w:sz w:val="18"/>
        <w:szCs w:val="18"/>
      </w:rPr>
      <w:t xml:space="preserve">                                                                                                                                          J Islamabad Med Dental Coll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E85D" w14:textId="4C1F0227" w:rsidR="005A0E97" w:rsidRDefault="005A0E97">
    <w:pPr>
      <w:pStyle w:val="Footer"/>
      <w:jc w:val="right"/>
    </w:pPr>
  </w:p>
  <w:p w14:paraId="1EF4E0A1" w14:textId="77777777" w:rsidR="005A0E97" w:rsidRPr="00660434" w:rsidRDefault="005A0E97" w:rsidP="005A0E97">
    <w:pPr>
      <w:pStyle w:val="Footer"/>
      <w:framePr w:w="662" w:h="259" w:hRule="exact" w:wrap="around" w:vAnchor="page" w:hAnchor="page" w:x="10398" w:y="15020"/>
      <w:shd w:val="clear" w:color="auto" w:fill="515151"/>
      <w:spacing w:after="200" w:line="276" w:lineRule="auto"/>
      <w:jc w:val="center"/>
      <w:rPr>
        <w:rStyle w:val="PageNumber"/>
        <w:rFonts w:ascii="Arial Narrow" w:hAnsi="Arial Narrow" w:cs="Arial"/>
        <w:color w:val="FFFFFF"/>
      </w:rPr>
    </w:pPr>
    <w:r w:rsidRPr="00660434">
      <w:rPr>
        <w:rStyle w:val="PageNumber"/>
        <w:rFonts w:ascii="Arial Narrow" w:hAnsi="Arial Narrow" w:cs="Arial"/>
        <w:color w:val="FFFFFF"/>
      </w:rPr>
      <w:fldChar w:fldCharType="begin"/>
    </w:r>
    <w:r w:rsidRPr="00660434">
      <w:rPr>
        <w:rStyle w:val="PageNumber"/>
        <w:rFonts w:ascii="Arial Narrow" w:hAnsi="Arial Narrow" w:cs="Arial"/>
        <w:color w:val="FFFFFF"/>
      </w:rPr>
      <w:instrText xml:space="preserve"> PAGE   \* MERGEFORMAT </w:instrText>
    </w:r>
    <w:r w:rsidRPr="00660434">
      <w:rPr>
        <w:rStyle w:val="PageNumber"/>
        <w:rFonts w:ascii="Arial Narrow" w:hAnsi="Arial Narrow" w:cs="Arial"/>
        <w:color w:val="FFFFFF"/>
      </w:rPr>
      <w:fldChar w:fldCharType="separate"/>
    </w:r>
    <w:r>
      <w:rPr>
        <w:rStyle w:val="PageNumber"/>
        <w:rFonts w:ascii="Arial Narrow" w:hAnsi="Arial Narrow" w:cs="Arial"/>
        <w:color w:val="FFFFFF"/>
      </w:rPr>
      <w:t>140</w:t>
    </w:r>
    <w:r w:rsidRPr="00660434">
      <w:rPr>
        <w:rStyle w:val="PageNumber"/>
        <w:rFonts w:ascii="Arial Narrow" w:hAnsi="Arial Narrow" w:cs="Arial"/>
        <w:noProof/>
        <w:color w:val="FFFFFF"/>
      </w:rPr>
      <w:fldChar w:fldCharType="end"/>
    </w:r>
  </w:p>
  <w:p w14:paraId="44C635E9" w14:textId="0C208C41" w:rsidR="0003794A" w:rsidRPr="005A0E97" w:rsidRDefault="005A0E97" w:rsidP="005A0E97">
    <w:pPr>
      <w:pStyle w:val="Footer"/>
      <w:spacing w:line="276" w:lineRule="auto"/>
      <w:jc w:val="both"/>
    </w:pPr>
    <w:r>
      <w:rPr>
        <w:rFonts w:ascii="Times New Roman" w:hAnsi="Times New Roman"/>
        <w:sz w:val="18"/>
        <w:szCs w:val="18"/>
      </w:rPr>
      <w:t xml:space="preserve">                                                                                                                                          J Islamabad Med Dental Coll 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7A44" w14:textId="2E89300A" w:rsidR="005A0E97" w:rsidRDefault="005A0E97">
    <w:pPr>
      <w:pStyle w:val="Footer"/>
      <w:jc w:val="right"/>
    </w:pPr>
  </w:p>
  <w:p w14:paraId="5CA2621D" w14:textId="77777777" w:rsidR="005A0E97" w:rsidRPr="00660434" w:rsidRDefault="005A0E97" w:rsidP="005A0E97">
    <w:pPr>
      <w:pStyle w:val="Footer"/>
      <w:framePr w:w="662" w:h="259" w:hRule="exact" w:wrap="around" w:vAnchor="page" w:hAnchor="page" w:x="10398" w:y="15020"/>
      <w:shd w:val="clear" w:color="auto" w:fill="515151"/>
      <w:spacing w:after="200" w:line="276" w:lineRule="auto"/>
      <w:jc w:val="center"/>
      <w:rPr>
        <w:rStyle w:val="PageNumber"/>
        <w:rFonts w:ascii="Arial Narrow" w:hAnsi="Arial Narrow" w:cs="Arial"/>
        <w:color w:val="FFFFFF"/>
      </w:rPr>
    </w:pPr>
    <w:r w:rsidRPr="00660434">
      <w:rPr>
        <w:rStyle w:val="PageNumber"/>
        <w:rFonts w:ascii="Arial Narrow" w:hAnsi="Arial Narrow" w:cs="Arial"/>
        <w:color w:val="FFFFFF"/>
      </w:rPr>
      <w:fldChar w:fldCharType="begin"/>
    </w:r>
    <w:r w:rsidRPr="00660434">
      <w:rPr>
        <w:rStyle w:val="PageNumber"/>
        <w:rFonts w:ascii="Arial Narrow" w:hAnsi="Arial Narrow" w:cs="Arial"/>
        <w:color w:val="FFFFFF"/>
      </w:rPr>
      <w:instrText xml:space="preserve"> PAGE   \* MERGEFORMAT </w:instrText>
    </w:r>
    <w:r w:rsidRPr="00660434">
      <w:rPr>
        <w:rStyle w:val="PageNumber"/>
        <w:rFonts w:ascii="Arial Narrow" w:hAnsi="Arial Narrow" w:cs="Arial"/>
        <w:color w:val="FFFFFF"/>
      </w:rPr>
      <w:fldChar w:fldCharType="separate"/>
    </w:r>
    <w:r>
      <w:rPr>
        <w:rStyle w:val="PageNumber"/>
        <w:rFonts w:ascii="Arial Narrow" w:hAnsi="Arial Narrow" w:cs="Arial"/>
        <w:color w:val="FFFFFF"/>
      </w:rPr>
      <w:t>140</w:t>
    </w:r>
    <w:r w:rsidRPr="00660434">
      <w:rPr>
        <w:rStyle w:val="PageNumber"/>
        <w:rFonts w:ascii="Arial Narrow" w:hAnsi="Arial Narrow" w:cs="Arial"/>
        <w:noProof/>
        <w:color w:val="FFFFFF"/>
      </w:rPr>
      <w:fldChar w:fldCharType="end"/>
    </w:r>
  </w:p>
  <w:p w14:paraId="14C7C097" w14:textId="3DDC2BFD" w:rsidR="0003794A" w:rsidRPr="005A0E97" w:rsidRDefault="005A0E97" w:rsidP="005A0E97">
    <w:pPr>
      <w:pStyle w:val="Footer"/>
      <w:spacing w:line="276" w:lineRule="auto"/>
      <w:jc w:val="both"/>
    </w:pPr>
    <w:r>
      <w:rPr>
        <w:rFonts w:ascii="Times New Roman" w:hAnsi="Times New Roman"/>
        <w:sz w:val="18"/>
        <w:szCs w:val="18"/>
      </w:rPr>
      <w:t xml:space="preserve">                                                                                                                                          J Islamabad Med Dental Coll 2021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22D5" w14:textId="278B39C4" w:rsidR="005A0E97" w:rsidRDefault="005A0E97">
    <w:pPr>
      <w:pStyle w:val="Footer"/>
      <w:jc w:val="right"/>
    </w:pPr>
  </w:p>
  <w:p w14:paraId="6004BD1B" w14:textId="77777777" w:rsidR="005A0E97" w:rsidRPr="00660434" w:rsidRDefault="005A0E97" w:rsidP="005A0E97">
    <w:pPr>
      <w:pStyle w:val="Footer"/>
      <w:framePr w:w="662" w:h="259" w:hRule="exact" w:wrap="around" w:vAnchor="page" w:hAnchor="page" w:x="10398" w:y="15020"/>
      <w:shd w:val="clear" w:color="auto" w:fill="515151"/>
      <w:spacing w:after="200" w:line="276" w:lineRule="auto"/>
      <w:jc w:val="center"/>
      <w:rPr>
        <w:rStyle w:val="PageNumber"/>
        <w:rFonts w:ascii="Arial Narrow" w:hAnsi="Arial Narrow" w:cs="Arial"/>
        <w:color w:val="FFFFFF"/>
      </w:rPr>
    </w:pPr>
    <w:r w:rsidRPr="00660434">
      <w:rPr>
        <w:rStyle w:val="PageNumber"/>
        <w:rFonts w:ascii="Arial Narrow" w:hAnsi="Arial Narrow" w:cs="Arial"/>
        <w:color w:val="FFFFFF"/>
      </w:rPr>
      <w:fldChar w:fldCharType="begin"/>
    </w:r>
    <w:r w:rsidRPr="00660434">
      <w:rPr>
        <w:rStyle w:val="PageNumber"/>
        <w:rFonts w:ascii="Arial Narrow" w:hAnsi="Arial Narrow" w:cs="Arial"/>
        <w:color w:val="FFFFFF"/>
      </w:rPr>
      <w:instrText xml:space="preserve"> PAGE   \* MERGEFORMAT </w:instrText>
    </w:r>
    <w:r w:rsidRPr="00660434">
      <w:rPr>
        <w:rStyle w:val="PageNumber"/>
        <w:rFonts w:ascii="Arial Narrow" w:hAnsi="Arial Narrow" w:cs="Arial"/>
        <w:color w:val="FFFFFF"/>
      </w:rPr>
      <w:fldChar w:fldCharType="separate"/>
    </w:r>
    <w:r>
      <w:rPr>
        <w:rStyle w:val="PageNumber"/>
        <w:rFonts w:ascii="Arial Narrow" w:hAnsi="Arial Narrow" w:cs="Arial"/>
        <w:color w:val="FFFFFF"/>
      </w:rPr>
      <w:t>140</w:t>
    </w:r>
    <w:r w:rsidRPr="00660434">
      <w:rPr>
        <w:rStyle w:val="PageNumber"/>
        <w:rFonts w:ascii="Arial Narrow" w:hAnsi="Arial Narrow" w:cs="Arial"/>
        <w:noProof/>
        <w:color w:val="FFFFFF"/>
      </w:rPr>
      <w:fldChar w:fldCharType="end"/>
    </w:r>
  </w:p>
  <w:p w14:paraId="61DC18DF" w14:textId="6B0F55F6" w:rsidR="0003794A" w:rsidRPr="005A0E97" w:rsidRDefault="005A0E97" w:rsidP="005A0E97">
    <w:pPr>
      <w:pStyle w:val="Footer"/>
      <w:spacing w:line="276" w:lineRule="auto"/>
      <w:jc w:val="both"/>
    </w:pPr>
    <w:r>
      <w:rPr>
        <w:rFonts w:ascii="Times New Roman" w:hAnsi="Times New Roman"/>
        <w:sz w:val="18"/>
        <w:szCs w:val="18"/>
      </w:rPr>
      <w:t xml:space="preserve">                                                                                                                                          J Islamabad Med Dental Coll 2021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7058" w14:textId="503A6801" w:rsidR="005A0E97" w:rsidRDefault="005A0E97">
    <w:pPr>
      <w:pStyle w:val="Footer"/>
      <w:jc w:val="right"/>
    </w:pPr>
  </w:p>
  <w:p w14:paraId="2333E221" w14:textId="77777777" w:rsidR="005A0E97" w:rsidRPr="00660434" w:rsidRDefault="005A0E97" w:rsidP="005A0E97">
    <w:pPr>
      <w:pStyle w:val="Footer"/>
      <w:framePr w:w="662" w:h="259" w:hRule="exact" w:wrap="around" w:vAnchor="page" w:hAnchor="page" w:x="10398" w:y="15020"/>
      <w:shd w:val="clear" w:color="auto" w:fill="515151"/>
      <w:spacing w:after="200" w:line="276" w:lineRule="auto"/>
      <w:jc w:val="center"/>
      <w:rPr>
        <w:rStyle w:val="PageNumber"/>
        <w:rFonts w:ascii="Arial Narrow" w:hAnsi="Arial Narrow" w:cs="Arial"/>
        <w:color w:val="FFFFFF"/>
      </w:rPr>
    </w:pPr>
    <w:r w:rsidRPr="00660434">
      <w:rPr>
        <w:rStyle w:val="PageNumber"/>
        <w:rFonts w:ascii="Arial Narrow" w:hAnsi="Arial Narrow" w:cs="Arial"/>
        <w:color w:val="FFFFFF"/>
      </w:rPr>
      <w:fldChar w:fldCharType="begin"/>
    </w:r>
    <w:r w:rsidRPr="00660434">
      <w:rPr>
        <w:rStyle w:val="PageNumber"/>
        <w:rFonts w:ascii="Arial Narrow" w:hAnsi="Arial Narrow" w:cs="Arial"/>
        <w:color w:val="FFFFFF"/>
      </w:rPr>
      <w:instrText xml:space="preserve"> PAGE   \* MERGEFORMAT </w:instrText>
    </w:r>
    <w:r w:rsidRPr="00660434">
      <w:rPr>
        <w:rStyle w:val="PageNumber"/>
        <w:rFonts w:ascii="Arial Narrow" w:hAnsi="Arial Narrow" w:cs="Arial"/>
        <w:color w:val="FFFFFF"/>
      </w:rPr>
      <w:fldChar w:fldCharType="separate"/>
    </w:r>
    <w:r>
      <w:rPr>
        <w:rStyle w:val="PageNumber"/>
        <w:rFonts w:ascii="Arial Narrow" w:hAnsi="Arial Narrow" w:cs="Arial"/>
        <w:color w:val="FFFFFF"/>
      </w:rPr>
      <w:t>140</w:t>
    </w:r>
    <w:r w:rsidRPr="00660434">
      <w:rPr>
        <w:rStyle w:val="PageNumber"/>
        <w:rFonts w:ascii="Arial Narrow" w:hAnsi="Arial Narrow" w:cs="Arial"/>
        <w:noProof/>
        <w:color w:val="FFFFFF"/>
      </w:rPr>
      <w:fldChar w:fldCharType="end"/>
    </w:r>
  </w:p>
  <w:p w14:paraId="42689A4F" w14:textId="070250EC" w:rsidR="0003794A" w:rsidRPr="005A0E97" w:rsidRDefault="005A0E97" w:rsidP="005A0E97">
    <w:pPr>
      <w:pStyle w:val="Footer"/>
      <w:spacing w:line="276" w:lineRule="auto"/>
      <w:jc w:val="both"/>
    </w:pPr>
    <w:r>
      <w:rPr>
        <w:rFonts w:ascii="Times New Roman" w:hAnsi="Times New Roman"/>
        <w:sz w:val="18"/>
        <w:szCs w:val="18"/>
      </w:rPr>
      <w:t xml:space="preserve">                                                                                                                                          J Islamabad Med Dental Coll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7992" w14:textId="77777777" w:rsidR="00CF0093" w:rsidRDefault="00CF0093" w:rsidP="007C562B">
      <w:pPr>
        <w:spacing w:after="0" w:line="240" w:lineRule="auto"/>
      </w:pPr>
      <w:r>
        <w:separator/>
      </w:r>
    </w:p>
  </w:footnote>
  <w:footnote w:type="continuationSeparator" w:id="0">
    <w:p w14:paraId="6582557D" w14:textId="77777777" w:rsidR="00CF0093" w:rsidRDefault="00CF0093" w:rsidP="007C5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096"/>
    <w:multiLevelType w:val="hybridMultilevel"/>
    <w:tmpl w:val="1D04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13E9B"/>
    <w:multiLevelType w:val="hybridMultilevel"/>
    <w:tmpl w:val="55C6F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E6E52"/>
    <w:multiLevelType w:val="hybridMultilevel"/>
    <w:tmpl w:val="14846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D22D8"/>
    <w:multiLevelType w:val="hybridMultilevel"/>
    <w:tmpl w:val="F9302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64977"/>
    <w:multiLevelType w:val="hybridMultilevel"/>
    <w:tmpl w:val="1BCA53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13C95"/>
    <w:multiLevelType w:val="hybridMultilevel"/>
    <w:tmpl w:val="A1FA5D1E"/>
    <w:lvl w:ilvl="0" w:tplc="70B081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E5867"/>
    <w:multiLevelType w:val="hybridMultilevel"/>
    <w:tmpl w:val="3D6269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4F72C5"/>
    <w:multiLevelType w:val="hybridMultilevel"/>
    <w:tmpl w:val="77FE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A4F3D"/>
    <w:multiLevelType w:val="hybridMultilevel"/>
    <w:tmpl w:val="29B2F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FD748A"/>
    <w:multiLevelType w:val="hybridMultilevel"/>
    <w:tmpl w:val="65F4D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A19A7"/>
    <w:multiLevelType w:val="hybridMultilevel"/>
    <w:tmpl w:val="379C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60C5D"/>
    <w:multiLevelType w:val="hybridMultilevel"/>
    <w:tmpl w:val="65722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47394"/>
    <w:multiLevelType w:val="hybridMultilevel"/>
    <w:tmpl w:val="97CE4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64B2F"/>
    <w:multiLevelType w:val="multilevel"/>
    <w:tmpl w:val="7C3EDF8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ABE533E"/>
    <w:multiLevelType w:val="hybridMultilevel"/>
    <w:tmpl w:val="5EBCB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4B6917"/>
    <w:multiLevelType w:val="hybridMultilevel"/>
    <w:tmpl w:val="AFF0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B6727"/>
    <w:multiLevelType w:val="hybridMultilevel"/>
    <w:tmpl w:val="FD34467C"/>
    <w:lvl w:ilvl="0" w:tplc="4EEC2E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0C2F45"/>
    <w:multiLevelType w:val="hybridMultilevel"/>
    <w:tmpl w:val="606EE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A046A"/>
    <w:multiLevelType w:val="hybridMultilevel"/>
    <w:tmpl w:val="E36A1824"/>
    <w:lvl w:ilvl="0" w:tplc="DF462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F154E5"/>
    <w:multiLevelType w:val="hybridMultilevel"/>
    <w:tmpl w:val="517E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
  </w:num>
  <w:num w:numId="4">
    <w:abstractNumId w:val="14"/>
  </w:num>
  <w:num w:numId="5">
    <w:abstractNumId w:val="10"/>
  </w:num>
  <w:num w:numId="6">
    <w:abstractNumId w:val="7"/>
  </w:num>
  <w:num w:numId="7">
    <w:abstractNumId w:val="9"/>
  </w:num>
  <w:num w:numId="8">
    <w:abstractNumId w:val="5"/>
  </w:num>
  <w:num w:numId="9">
    <w:abstractNumId w:val="2"/>
  </w:num>
  <w:num w:numId="10">
    <w:abstractNumId w:val="6"/>
  </w:num>
  <w:num w:numId="11">
    <w:abstractNumId w:val="8"/>
  </w:num>
  <w:num w:numId="12">
    <w:abstractNumId w:val="15"/>
  </w:num>
  <w:num w:numId="13">
    <w:abstractNumId w:val="17"/>
  </w:num>
  <w:num w:numId="14">
    <w:abstractNumId w:val="12"/>
  </w:num>
  <w:num w:numId="15">
    <w:abstractNumId w:val="13"/>
  </w:num>
  <w:num w:numId="16">
    <w:abstractNumId w:val="3"/>
  </w:num>
  <w:num w:numId="17">
    <w:abstractNumId w:val="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06"/>
    <w:rsid w:val="00000A8C"/>
    <w:rsid w:val="00000EDF"/>
    <w:rsid w:val="0000110E"/>
    <w:rsid w:val="000023BF"/>
    <w:rsid w:val="00003C70"/>
    <w:rsid w:val="00005AB4"/>
    <w:rsid w:val="0000631D"/>
    <w:rsid w:val="000107BC"/>
    <w:rsid w:val="00021642"/>
    <w:rsid w:val="00021998"/>
    <w:rsid w:val="00022550"/>
    <w:rsid w:val="00026C95"/>
    <w:rsid w:val="000270EA"/>
    <w:rsid w:val="00027B51"/>
    <w:rsid w:val="00027BA0"/>
    <w:rsid w:val="0003063E"/>
    <w:rsid w:val="0003794A"/>
    <w:rsid w:val="00042F42"/>
    <w:rsid w:val="0004346C"/>
    <w:rsid w:val="00044B01"/>
    <w:rsid w:val="0004599C"/>
    <w:rsid w:val="000503D1"/>
    <w:rsid w:val="00052A4F"/>
    <w:rsid w:val="000561B9"/>
    <w:rsid w:val="00061993"/>
    <w:rsid w:val="000621A1"/>
    <w:rsid w:val="000633FE"/>
    <w:rsid w:val="000709C6"/>
    <w:rsid w:val="00070CE6"/>
    <w:rsid w:val="0007179A"/>
    <w:rsid w:val="00076CF6"/>
    <w:rsid w:val="00087EC2"/>
    <w:rsid w:val="000913D9"/>
    <w:rsid w:val="00091A5B"/>
    <w:rsid w:val="00094F4B"/>
    <w:rsid w:val="0009718C"/>
    <w:rsid w:val="0009794E"/>
    <w:rsid w:val="000A3E8B"/>
    <w:rsid w:val="000A5427"/>
    <w:rsid w:val="000A76B9"/>
    <w:rsid w:val="000B0829"/>
    <w:rsid w:val="000B375A"/>
    <w:rsid w:val="000B37AC"/>
    <w:rsid w:val="000B3E28"/>
    <w:rsid w:val="000B6D93"/>
    <w:rsid w:val="000C0A1D"/>
    <w:rsid w:val="000C154D"/>
    <w:rsid w:val="000C1951"/>
    <w:rsid w:val="000C3A2F"/>
    <w:rsid w:val="000D1020"/>
    <w:rsid w:val="000D14AC"/>
    <w:rsid w:val="000D3C2F"/>
    <w:rsid w:val="000D3F17"/>
    <w:rsid w:val="000E0B47"/>
    <w:rsid w:val="000E2159"/>
    <w:rsid w:val="000E602E"/>
    <w:rsid w:val="000F125C"/>
    <w:rsid w:val="000F165A"/>
    <w:rsid w:val="000F184B"/>
    <w:rsid w:val="000F435A"/>
    <w:rsid w:val="000F6131"/>
    <w:rsid w:val="0010088F"/>
    <w:rsid w:val="00100F74"/>
    <w:rsid w:val="0010103E"/>
    <w:rsid w:val="00101330"/>
    <w:rsid w:val="00101A65"/>
    <w:rsid w:val="0010481F"/>
    <w:rsid w:val="00110819"/>
    <w:rsid w:val="001139B5"/>
    <w:rsid w:val="00113A34"/>
    <w:rsid w:val="00114664"/>
    <w:rsid w:val="00117466"/>
    <w:rsid w:val="00117F29"/>
    <w:rsid w:val="00122CCE"/>
    <w:rsid w:val="00123CCD"/>
    <w:rsid w:val="001268D9"/>
    <w:rsid w:val="00127CF3"/>
    <w:rsid w:val="00130775"/>
    <w:rsid w:val="00132205"/>
    <w:rsid w:val="001328E3"/>
    <w:rsid w:val="0013339F"/>
    <w:rsid w:val="00134459"/>
    <w:rsid w:val="00136A58"/>
    <w:rsid w:val="00140560"/>
    <w:rsid w:val="001407FA"/>
    <w:rsid w:val="00140A5B"/>
    <w:rsid w:val="00141298"/>
    <w:rsid w:val="001465EF"/>
    <w:rsid w:val="00147778"/>
    <w:rsid w:val="001533F1"/>
    <w:rsid w:val="00157052"/>
    <w:rsid w:val="0016297F"/>
    <w:rsid w:val="00162D6F"/>
    <w:rsid w:val="001636B5"/>
    <w:rsid w:val="001655A6"/>
    <w:rsid w:val="00170232"/>
    <w:rsid w:val="001714B7"/>
    <w:rsid w:val="00171601"/>
    <w:rsid w:val="00186C4C"/>
    <w:rsid w:val="00187057"/>
    <w:rsid w:val="00193616"/>
    <w:rsid w:val="001958DC"/>
    <w:rsid w:val="00195BB9"/>
    <w:rsid w:val="001A07B3"/>
    <w:rsid w:val="001A47CD"/>
    <w:rsid w:val="001B22A5"/>
    <w:rsid w:val="001B4619"/>
    <w:rsid w:val="001B5557"/>
    <w:rsid w:val="001B5734"/>
    <w:rsid w:val="001B609A"/>
    <w:rsid w:val="001C04DB"/>
    <w:rsid w:val="001C0662"/>
    <w:rsid w:val="001C095B"/>
    <w:rsid w:val="001C0C11"/>
    <w:rsid w:val="001C2F4E"/>
    <w:rsid w:val="001C456D"/>
    <w:rsid w:val="001C5A68"/>
    <w:rsid w:val="001D076B"/>
    <w:rsid w:val="001D1329"/>
    <w:rsid w:val="001D1F26"/>
    <w:rsid w:val="001D421E"/>
    <w:rsid w:val="001D77D8"/>
    <w:rsid w:val="001E1655"/>
    <w:rsid w:val="001E27E9"/>
    <w:rsid w:val="001E322E"/>
    <w:rsid w:val="001E6A92"/>
    <w:rsid w:val="001E7283"/>
    <w:rsid w:val="001F1ECF"/>
    <w:rsid w:val="001F7ACE"/>
    <w:rsid w:val="00201FE6"/>
    <w:rsid w:val="00202DC7"/>
    <w:rsid w:val="00213160"/>
    <w:rsid w:val="00213562"/>
    <w:rsid w:val="00213ED5"/>
    <w:rsid w:val="002142DF"/>
    <w:rsid w:val="0021672A"/>
    <w:rsid w:val="00220F1D"/>
    <w:rsid w:val="00225CAE"/>
    <w:rsid w:val="00227A3D"/>
    <w:rsid w:val="002327D1"/>
    <w:rsid w:val="0023327B"/>
    <w:rsid w:val="00240C7A"/>
    <w:rsid w:val="00242D76"/>
    <w:rsid w:val="00244651"/>
    <w:rsid w:val="00244CE5"/>
    <w:rsid w:val="002451DC"/>
    <w:rsid w:val="0025055F"/>
    <w:rsid w:val="00252588"/>
    <w:rsid w:val="00262238"/>
    <w:rsid w:val="00262865"/>
    <w:rsid w:val="00262F41"/>
    <w:rsid w:val="002646A6"/>
    <w:rsid w:val="0026638B"/>
    <w:rsid w:val="00270F3B"/>
    <w:rsid w:val="00272E1E"/>
    <w:rsid w:val="002740AB"/>
    <w:rsid w:val="00281ADC"/>
    <w:rsid w:val="002846BD"/>
    <w:rsid w:val="0029487D"/>
    <w:rsid w:val="002A14C5"/>
    <w:rsid w:val="002A1CA7"/>
    <w:rsid w:val="002A7C20"/>
    <w:rsid w:val="002B0428"/>
    <w:rsid w:val="002B3400"/>
    <w:rsid w:val="002B4E87"/>
    <w:rsid w:val="002B52D7"/>
    <w:rsid w:val="002C2A31"/>
    <w:rsid w:val="002C4A87"/>
    <w:rsid w:val="002C6E40"/>
    <w:rsid w:val="002C7C3A"/>
    <w:rsid w:val="002D0923"/>
    <w:rsid w:val="002D2796"/>
    <w:rsid w:val="002D6B3E"/>
    <w:rsid w:val="002D7306"/>
    <w:rsid w:val="002E0E72"/>
    <w:rsid w:val="002E4103"/>
    <w:rsid w:val="002E56CE"/>
    <w:rsid w:val="002F0250"/>
    <w:rsid w:val="002F0E2F"/>
    <w:rsid w:val="002F338F"/>
    <w:rsid w:val="00300F27"/>
    <w:rsid w:val="00304808"/>
    <w:rsid w:val="003105CB"/>
    <w:rsid w:val="00311F21"/>
    <w:rsid w:val="00313E02"/>
    <w:rsid w:val="0031691C"/>
    <w:rsid w:val="00317A3D"/>
    <w:rsid w:val="00320BA3"/>
    <w:rsid w:val="003264EB"/>
    <w:rsid w:val="00327198"/>
    <w:rsid w:val="00331916"/>
    <w:rsid w:val="003348D3"/>
    <w:rsid w:val="00335C77"/>
    <w:rsid w:val="00336F9D"/>
    <w:rsid w:val="00341304"/>
    <w:rsid w:val="00343725"/>
    <w:rsid w:val="0034603A"/>
    <w:rsid w:val="0034733C"/>
    <w:rsid w:val="00347FD7"/>
    <w:rsid w:val="0035172E"/>
    <w:rsid w:val="00353FC6"/>
    <w:rsid w:val="00354948"/>
    <w:rsid w:val="00356ACB"/>
    <w:rsid w:val="00361530"/>
    <w:rsid w:val="00363107"/>
    <w:rsid w:val="00363325"/>
    <w:rsid w:val="00363333"/>
    <w:rsid w:val="00363ED9"/>
    <w:rsid w:val="00364C13"/>
    <w:rsid w:val="00366CA5"/>
    <w:rsid w:val="00367985"/>
    <w:rsid w:val="00371DDB"/>
    <w:rsid w:val="00375033"/>
    <w:rsid w:val="00375ABE"/>
    <w:rsid w:val="0037658E"/>
    <w:rsid w:val="00380872"/>
    <w:rsid w:val="0038152E"/>
    <w:rsid w:val="00382431"/>
    <w:rsid w:val="00382B08"/>
    <w:rsid w:val="003961A6"/>
    <w:rsid w:val="003A0CD1"/>
    <w:rsid w:val="003A4136"/>
    <w:rsid w:val="003B474D"/>
    <w:rsid w:val="003C18EE"/>
    <w:rsid w:val="003C6E88"/>
    <w:rsid w:val="003D428E"/>
    <w:rsid w:val="003D4D3C"/>
    <w:rsid w:val="003E0D34"/>
    <w:rsid w:val="003E124A"/>
    <w:rsid w:val="003E2412"/>
    <w:rsid w:val="003E28C2"/>
    <w:rsid w:val="003E52AB"/>
    <w:rsid w:val="003E649E"/>
    <w:rsid w:val="00400514"/>
    <w:rsid w:val="00404E5F"/>
    <w:rsid w:val="00413198"/>
    <w:rsid w:val="00415C90"/>
    <w:rsid w:val="00415DCC"/>
    <w:rsid w:val="004207DB"/>
    <w:rsid w:val="00422858"/>
    <w:rsid w:val="00433FE5"/>
    <w:rsid w:val="00437A92"/>
    <w:rsid w:val="00437CA8"/>
    <w:rsid w:val="00437DE3"/>
    <w:rsid w:val="00437E06"/>
    <w:rsid w:val="00440ABF"/>
    <w:rsid w:val="004410C8"/>
    <w:rsid w:val="00441495"/>
    <w:rsid w:val="00445F46"/>
    <w:rsid w:val="00453324"/>
    <w:rsid w:val="00456A0A"/>
    <w:rsid w:val="00456C97"/>
    <w:rsid w:val="00464EE4"/>
    <w:rsid w:val="00470EEE"/>
    <w:rsid w:val="0047258C"/>
    <w:rsid w:val="00472DB9"/>
    <w:rsid w:val="00476143"/>
    <w:rsid w:val="00477D71"/>
    <w:rsid w:val="004819A3"/>
    <w:rsid w:val="00483801"/>
    <w:rsid w:val="004846D4"/>
    <w:rsid w:val="00485385"/>
    <w:rsid w:val="0049009A"/>
    <w:rsid w:val="00490210"/>
    <w:rsid w:val="004905E5"/>
    <w:rsid w:val="00491D9B"/>
    <w:rsid w:val="00492F6A"/>
    <w:rsid w:val="004932F6"/>
    <w:rsid w:val="0049591E"/>
    <w:rsid w:val="004977E5"/>
    <w:rsid w:val="004A3D78"/>
    <w:rsid w:val="004A448B"/>
    <w:rsid w:val="004A4737"/>
    <w:rsid w:val="004A59B5"/>
    <w:rsid w:val="004A67D3"/>
    <w:rsid w:val="004B2412"/>
    <w:rsid w:val="004C0C2A"/>
    <w:rsid w:val="004C1CA5"/>
    <w:rsid w:val="004C20D7"/>
    <w:rsid w:val="004C7E7B"/>
    <w:rsid w:val="004D0702"/>
    <w:rsid w:val="004D0F16"/>
    <w:rsid w:val="004D11C8"/>
    <w:rsid w:val="004D1E71"/>
    <w:rsid w:val="004D2F7D"/>
    <w:rsid w:val="004D3AB1"/>
    <w:rsid w:val="004D3E8D"/>
    <w:rsid w:val="004D4B7C"/>
    <w:rsid w:val="004D4CF0"/>
    <w:rsid w:val="004D4F01"/>
    <w:rsid w:val="004D5493"/>
    <w:rsid w:val="004E0DDC"/>
    <w:rsid w:val="004E2821"/>
    <w:rsid w:val="004E3DD6"/>
    <w:rsid w:val="004E5F00"/>
    <w:rsid w:val="004F0BDE"/>
    <w:rsid w:val="004F24C7"/>
    <w:rsid w:val="004F361E"/>
    <w:rsid w:val="004F4C92"/>
    <w:rsid w:val="004F5913"/>
    <w:rsid w:val="00510D4E"/>
    <w:rsid w:val="0051244F"/>
    <w:rsid w:val="00513BC7"/>
    <w:rsid w:val="00513DB7"/>
    <w:rsid w:val="00513F05"/>
    <w:rsid w:val="00514C35"/>
    <w:rsid w:val="00517BD3"/>
    <w:rsid w:val="00520067"/>
    <w:rsid w:val="005226D8"/>
    <w:rsid w:val="00522C2D"/>
    <w:rsid w:val="00523686"/>
    <w:rsid w:val="00525212"/>
    <w:rsid w:val="00527C7A"/>
    <w:rsid w:val="00530C2E"/>
    <w:rsid w:val="005316B3"/>
    <w:rsid w:val="00542BA6"/>
    <w:rsid w:val="00543DD9"/>
    <w:rsid w:val="00544470"/>
    <w:rsid w:val="00544476"/>
    <w:rsid w:val="00546AAC"/>
    <w:rsid w:val="00546EF9"/>
    <w:rsid w:val="00546F2A"/>
    <w:rsid w:val="00552022"/>
    <w:rsid w:val="00553949"/>
    <w:rsid w:val="00556810"/>
    <w:rsid w:val="00560B74"/>
    <w:rsid w:val="005618AF"/>
    <w:rsid w:val="0056199F"/>
    <w:rsid w:val="00562602"/>
    <w:rsid w:val="005679D4"/>
    <w:rsid w:val="00571390"/>
    <w:rsid w:val="00573498"/>
    <w:rsid w:val="00575E7B"/>
    <w:rsid w:val="005803F1"/>
    <w:rsid w:val="0058347D"/>
    <w:rsid w:val="005855F6"/>
    <w:rsid w:val="00585E9C"/>
    <w:rsid w:val="00587622"/>
    <w:rsid w:val="00587B92"/>
    <w:rsid w:val="0059174F"/>
    <w:rsid w:val="00592BA6"/>
    <w:rsid w:val="00597140"/>
    <w:rsid w:val="00597AD6"/>
    <w:rsid w:val="005A0E97"/>
    <w:rsid w:val="005A11FA"/>
    <w:rsid w:val="005A25A2"/>
    <w:rsid w:val="005A57CA"/>
    <w:rsid w:val="005B1EBF"/>
    <w:rsid w:val="005B56EA"/>
    <w:rsid w:val="005C00F9"/>
    <w:rsid w:val="005C1586"/>
    <w:rsid w:val="005C6DA1"/>
    <w:rsid w:val="005D1688"/>
    <w:rsid w:val="005D1EC9"/>
    <w:rsid w:val="005D2F70"/>
    <w:rsid w:val="005D37BD"/>
    <w:rsid w:val="005D4910"/>
    <w:rsid w:val="005D694E"/>
    <w:rsid w:val="005E254E"/>
    <w:rsid w:val="005E2C34"/>
    <w:rsid w:val="005E3281"/>
    <w:rsid w:val="005E4026"/>
    <w:rsid w:val="005E455C"/>
    <w:rsid w:val="005E7584"/>
    <w:rsid w:val="005F1B8A"/>
    <w:rsid w:val="005F3124"/>
    <w:rsid w:val="00610F0A"/>
    <w:rsid w:val="00611017"/>
    <w:rsid w:val="0061153F"/>
    <w:rsid w:val="0061793B"/>
    <w:rsid w:val="0063793B"/>
    <w:rsid w:val="00637A0B"/>
    <w:rsid w:val="00641514"/>
    <w:rsid w:val="00641D32"/>
    <w:rsid w:val="006507ED"/>
    <w:rsid w:val="00655022"/>
    <w:rsid w:val="0065744E"/>
    <w:rsid w:val="0065768E"/>
    <w:rsid w:val="00657F39"/>
    <w:rsid w:val="00660F18"/>
    <w:rsid w:val="006619E8"/>
    <w:rsid w:val="00661F26"/>
    <w:rsid w:val="00664543"/>
    <w:rsid w:val="00667983"/>
    <w:rsid w:val="00670856"/>
    <w:rsid w:val="00671127"/>
    <w:rsid w:val="00671AEC"/>
    <w:rsid w:val="00675FB9"/>
    <w:rsid w:val="00676703"/>
    <w:rsid w:val="00676E73"/>
    <w:rsid w:val="00677A96"/>
    <w:rsid w:val="0068096F"/>
    <w:rsid w:val="00681792"/>
    <w:rsid w:val="00682637"/>
    <w:rsid w:val="0068298C"/>
    <w:rsid w:val="006857C7"/>
    <w:rsid w:val="00685C11"/>
    <w:rsid w:val="006868F6"/>
    <w:rsid w:val="00691D71"/>
    <w:rsid w:val="00692786"/>
    <w:rsid w:val="006931F9"/>
    <w:rsid w:val="00696C34"/>
    <w:rsid w:val="00697CE7"/>
    <w:rsid w:val="006A0995"/>
    <w:rsid w:val="006A3472"/>
    <w:rsid w:val="006B1F86"/>
    <w:rsid w:val="006B584B"/>
    <w:rsid w:val="006B60D6"/>
    <w:rsid w:val="006B7D7F"/>
    <w:rsid w:val="006C0A89"/>
    <w:rsid w:val="006C0F34"/>
    <w:rsid w:val="006C6531"/>
    <w:rsid w:val="006D0CCC"/>
    <w:rsid w:val="006D5091"/>
    <w:rsid w:val="006D5878"/>
    <w:rsid w:val="006E0016"/>
    <w:rsid w:val="006E1459"/>
    <w:rsid w:val="006E3EB1"/>
    <w:rsid w:val="006E48DB"/>
    <w:rsid w:val="006E5E36"/>
    <w:rsid w:val="006E738C"/>
    <w:rsid w:val="006F14E9"/>
    <w:rsid w:val="006F3774"/>
    <w:rsid w:val="006F5859"/>
    <w:rsid w:val="006F592B"/>
    <w:rsid w:val="006F6349"/>
    <w:rsid w:val="006F70E2"/>
    <w:rsid w:val="00702C35"/>
    <w:rsid w:val="007054F2"/>
    <w:rsid w:val="007076A9"/>
    <w:rsid w:val="007077A7"/>
    <w:rsid w:val="00711F57"/>
    <w:rsid w:val="007152FA"/>
    <w:rsid w:val="00715CC1"/>
    <w:rsid w:val="00721832"/>
    <w:rsid w:val="00721E83"/>
    <w:rsid w:val="00724827"/>
    <w:rsid w:val="00730C01"/>
    <w:rsid w:val="00732444"/>
    <w:rsid w:val="00736E49"/>
    <w:rsid w:val="0074020B"/>
    <w:rsid w:val="00743E31"/>
    <w:rsid w:val="007445F0"/>
    <w:rsid w:val="007516F4"/>
    <w:rsid w:val="00752570"/>
    <w:rsid w:val="0075302A"/>
    <w:rsid w:val="0075396F"/>
    <w:rsid w:val="0075637E"/>
    <w:rsid w:val="007575A8"/>
    <w:rsid w:val="00762206"/>
    <w:rsid w:val="00764FFB"/>
    <w:rsid w:val="0076610E"/>
    <w:rsid w:val="00766D41"/>
    <w:rsid w:val="0077079A"/>
    <w:rsid w:val="00770E36"/>
    <w:rsid w:val="00772995"/>
    <w:rsid w:val="007734A5"/>
    <w:rsid w:val="00774611"/>
    <w:rsid w:val="00776746"/>
    <w:rsid w:val="0078031F"/>
    <w:rsid w:val="0078043E"/>
    <w:rsid w:val="00782896"/>
    <w:rsid w:val="007844AF"/>
    <w:rsid w:val="007848FF"/>
    <w:rsid w:val="00784CD0"/>
    <w:rsid w:val="007874FB"/>
    <w:rsid w:val="00787AE9"/>
    <w:rsid w:val="007965B3"/>
    <w:rsid w:val="007970ED"/>
    <w:rsid w:val="007A0514"/>
    <w:rsid w:val="007A12C9"/>
    <w:rsid w:val="007A3EB4"/>
    <w:rsid w:val="007A4B51"/>
    <w:rsid w:val="007B4FD4"/>
    <w:rsid w:val="007B6286"/>
    <w:rsid w:val="007B6870"/>
    <w:rsid w:val="007C562B"/>
    <w:rsid w:val="007C658D"/>
    <w:rsid w:val="007D7979"/>
    <w:rsid w:val="007E5ABF"/>
    <w:rsid w:val="007F2076"/>
    <w:rsid w:val="007F2C00"/>
    <w:rsid w:val="007F6BDA"/>
    <w:rsid w:val="007F7FD4"/>
    <w:rsid w:val="00800D61"/>
    <w:rsid w:val="008011E5"/>
    <w:rsid w:val="00802D88"/>
    <w:rsid w:val="00802F3B"/>
    <w:rsid w:val="008035E1"/>
    <w:rsid w:val="008108BF"/>
    <w:rsid w:val="008118BA"/>
    <w:rsid w:val="008146F3"/>
    <w:rsid w:val="0081661D"/>
    <w:rsid w:val="008179DD"/>
    <w:rsid w:val="00817DBF"/>
    <w:rsid w:val="00821F1F"/>
    <w:rsid w:val="00822EBE"/>
    <w:rsid w:val="00823068"/>
    <w:rsid w:val="00823B52"/>
    <w:rsid w:val="008343B2"/>
    <w:rsid w:val="008345A2"/>
    <w:rsid w:val="0083641A"/>
    <w:rsid w:val="0084216D"/>
    <w:rsid w:val="008443A5"/>
    <w:rsid w:val="00845022"/>
    <w:rsid w:val="008455D8"/>
    <w:rsid w:val="008472B5"/>
    <w:rsid w:val="0084761D"/>
    <w:rsid w:val="00850B28"/>
    <w:rsid w:val="00851C2E"/>
    <w:rsid w:val="00860383"/>
    <w:rsid w:val="008607A8"/>
    <w:rsid w:val="00861030"/>
    <w:rsid w:val="00865A84"/>
    <w:rsid w:val="00866859"/>
    <w:rsid w:val="008673D2"/>
    <w:rsid w:val="008747D4"/>
    <w:rsid w:val="008755ED"/>
    <w:rsid w:val="00876BB1"/>
    <w:rsid w:val="00884790"/>
    <w:rsid w:val="00887256"/>
    <w:rsid w:val="0089012A"/>
    <w:rsid w:val="00891DD4"/>
    <w:rsid w:val="008926DA"/>
    <w:rsid w:val="008A057F"/>
    <w:rsid w:val="008A0C31"/>
    <w:rsid w:val="008A4E52"/>
    <w:rsid w:val="008B1AD6"/>
    <w:rsid w:val="008B5DBD"/>
    <w:rsid w:val="008C2F66"/>
    <w:rsid w:val="008C45E7"/>
    <w:rsid w:val="008D2A3B"/>
    <w:rsid w:val="008D30E1"/>
    <w:rsid w:val="008D4DE9"/>
    <w:rsid w:val="008E060C"/>
    <w:rsid w:val="008E47CB"/>
    <w:rsid w:val="008F2687"/>
    <w:rsid w:val="008F3F35"/>
    <w:rsid w:val="008F59DE"/>
    <w:rsid w:val="008F7527"/>
    <w:rsid w:val="00901916"/>
    <w:rsid w:val="009052F0"/>
    <w:rsid w:val="009063C4"/>
    <w:rsid w:val="009156D4"/>
    <w:rsid w:val="00917FE1"/>
    <w:rsid w:val="00922829"/>
    <w:rsid w:val="00927E28"/>
    <w:rsid w:val="009346D0"/>
    <w:rsid w:val="009367D7"/>
    <w:rsid w:val="009400C1"/>
    <w:rsid w:val="009414C4"/>
    <w:rsid w:val="0094389A"/>
    <w:rsid w:val="0094490B"/>
    <w:rsid w:val="00951E52"/>
    <w:rsid w:val="00952C89"/>
    <w:rsid w:val="00955B0B"/>
    <w:rsid w:val="00957DFC"/>
    <w:rsid w:val="0096078B"/>
    <w:rsid w:val="009629F4"/>
    <w:rsid w:val="00966353"/>
    <w:rsid w:val="00967B53"/>
    <w:rsid w:val="00970200"/>
    <w:rsid w:val="0097321F"/>
    <w:rsid w:val="00973633"/>
    <w:rsid w:val="009763D9"/>
    <w:rsid w:val="009769FA"/>
    <w:rsid w:val="009800DC"/>
    <w:rsid w:val="009807A2"/>
    <w:rsid w:val="009809EF"/>
    <w:rsid w:val="0098160F"/>
    <w:rsid w:val="00982395"/>
    <w:rsid w:val="00984585"/>
    <w:rsid w:val="00984A4F"/>
    <w:rsid w:val="00987098"/>
    <w:rsid w:val="00987534"/>
    <w:rsid w:val="00992C92"/>
    <w:rsid w:val="009949C3"/>
    <w:rsid w:val="009967F0"/>
    <w:rsid w:val="0099745E"/>
    <w:rsid w:val="009A018E"/>
    <w:rsid w:val="009B0B30"/>
    <w:rsid w:val="009B0B8E"/>
    <w:rsid w:val="009B0D0A"/>
    <w:rsid w:val="009B1ECA"/>
    <w:rsid w:val="009B4263"/>
    <w:rsid w:val="009B591E"/>
    <w:rsid w:val="009C350F"/>
    <w:rsid w:val="009C4535"/>
    <w:rsid w:val="009C4FB8"/>
    <w:rsid w:val="009C54CF"/>
    <w:rsid w:val="009D6979"/>
    <w:rsid w:val="009D771B"/>
    <w:rsid w:val="009E2E6E"/>
    <w:rsid w:val="009E3EC7"/>
    <w:rsid w:val="009E3EDE"/>
    <w:rsid w:val="009E6BF3"/>
    <w:rsid w:val="009E73D6"/>
    <w:rsid w:val="009E7A5A"/>
    <w:rsid w:val="009F2BAB"/>
    <w:rsid w:val="009F3CB9"/>
    <w:rsid w:val="009F65F1"/>
    <w:rsid w:val="009F7AAF"/>
    <w:rsid w:val="009F7B3D"/>
    <w:rsid w:val="00A0583E"/>
    <w:rsid w:val="00A07C5E"/>
    <w:rsid w:val="00A1517B"/>
    <w:rsid w:val="00A20B0D"/>
    <w:rsid w:val="00A21F1C"/>
    <w:rsid w:val="00A27EAE"/>
    <w:rsid w:val="00A30A9F"/>
    <w:rsid w:val="00A33830"/>
    <w:rsid w:val="00A36B99"/>
    <w:rsid w:val="00A403A7"/>
    <w:rsid w:val="00A4307E"/>
    <w:rsid w:val="00A43382"/>
    <w:rsid w:val="00A454E4"/>
    <w:rsid w:val="00A460B8"/>
    <w:rsid w:val="00A46166"/>
    <w:rsid w:val="00A51770"/>
    <w:rsid w:val="00A52EBD"/>
    <w:rsid w:val="00A548F9"/>
    <w:rsid w:val="00A624D3"/>
    <w:rsid w:val="00A63809"/>
    <w:rsid w:val="00A640F6"/>
    <w:rsid w:val="00A71A6B"/>
    <w:rsid w:val="00A71F41"/>
    <w:rsid w:val="00A72B5A"/>
    <w:rsid w:val="00A73BAF"/>
    <w:rsid w:val="00A77719"/>
    <w:rsid w:val="00A8025C"/>
    <w:rsid w:val="00A81334"/>
    <w:rsid w:val="00A81588"/>
    <w:rsid w:val="00A826AE"/>
    <w:rsid w:val="00A831C0"/>
    <w:rsid w:val="00A839C4"/>
    <w:rsid w:val="00A84072"/>
    <w:rsid w:val="00A86079"/>
    <w:rsid w:val="00A87EC6"/>
    <w:rsid w:val="00A87F1E"/>
    <w:rsid w:val="00A90962"/>
    <w:rsid w:val="00A90D9C"/>
    <w:rsid w:val="00A91A51"/>
    <w:rsid w:val="00A91D60"/>
    <w:rsid w:val="00A92972"/>
    <w:rsid w:val="00A93924"/>
    <w:rsid w:val="00A95C05"/>
    <w:rsid w:val="00A97DBA"/>
    <w:rsid w:val="00AA37AD"/>
    <w:rsid w:val="00AA397B"/>
    <w:rsid w:val="00AA4979"/>
    <w:rsid w:val="00AA56B2"/>
    <w:rsid w:val="00AA6EAE"/>
    <w:rsid w:val="00AB0A4A"/>
    <w:rsid w:val="00AB3519"/>
    <w:rsid w:val="00AB74FA"/>
    <w:rsid w:val="00AB7F9B"/>
    <w:rsid w:val="00AC0EA5"/>
    <w:rsid w:val="00AC2DAD"/>
    <w:rsid w:val="00AC3D00"/>
    <w:rsid w:val="00AD0350"/>
    <w:rsid w:val="00AD3DC4"/>
    <w:rsid w:val="00AD7535"/>
    <w:rsid w:val="00AE0AA6"/>
    <w:rsid w:val="00AE1BAF"/>
    <w:rsid w:val="00AE1D43"/>
    <w:rsid w:val="00AE2C45"/>
    <w:rsid w:val="00AE4AAD"/>
    <w:rsid w:val="00AE503D"/>
    <w:rsid w:val="00AE6088"/>
    <w:rsid w:val="00AF3743"/>
    <w:rsid w:val="00AF672D"/>
    <w:rsid w:val="00B011B2"/>
    <w:rsid w:val="00B026FD"/>
    <w:rsid w:val="00B1262A"/>
    <w:rsid w:val="00B15DAE"/>
    <w:rsid w:val="00B16748"/>
    <w:rsid w:val="00B16D7C"/>
    <w:rsid w:val="00B20246"/>
    <w:rsid w:val="00B21291"/>
    <w:rsid w:val="00B212CD"/>
    <w:rsid w:val="00B2491A"/>
    <w:rsid w:val="00B25019"/>
    <w:rsid w:val="00B262AD"/>
    <w:rsid w:val="00B26CD9"/>
    <w:rsid w:val="00B27262"/>
    <w:rsid w:val="00B314B2"/>
    <w:rsid w:val="00B31779"/>
    <w:rsid w:val="00B35488"/>
    <w:rsid w:val="00B37B80"/>
    <w:rsid w:val="00B5033D"/>
    <w:rsid w:val="00B526A2"/>
    <w:rsid w:val="00B5524E"/>
    <w:rsid w:val="00B62723"/>
    <w:rsid w:val="00B635A0"/>
    <w:rsid w:val="00B665AB"/>
    <w:rsid w:val="00B66C50"/>
    <w:rsid w:val="00B67BDE"/>
    <w:rsid w:val="00B7292C"/>
    <w:rsid w:val="00B74C52"/>
    <w:rsid w:val="00B8022D"/>
    <w:rsid w:val="00B80302"/>
    <w:rsid w:val="00B83B56"/>
    <w:rsid w:val="00B84914"/>
    <w:rsid w:val="00B8633F"/>
    <w:rsid w:val="00B86A73"/>
    <w:rsid w:val="00B91378"/>
    <w:rsid w:val="00B92C61"/>
    <w:rsid w:val="00B92E6F"/>
    <w:rsid w:val="00B92F33"/>
    <w:rsid w:val="00B934FC"/>
    <w:rsid w:val="00B95AED"/>
    <w:rsid w:val="00BA0112"/>
    <w:rsid w:val="00BA24A4"/>
    <w:rsid w:val="00BA2739"/>
    <w:rsid w:val="00BA3292"/>
    <w:rsid w:val="00BA43CA"/>
    <w:rsid w:val="00BA5A19"/>
    <w:rsid w:val="00BA75BE"/>
    <w:rsid w:val="00BB32DB"/>
    <w:rsid w:val="00BB3C7E"/>
    <w:rsid w:val="00BC207C"/>
    <w:rsid w:val="00BC32E2"/>
    <w:rsid w:val="00BD0B94"/>
    <w:rsid w:val="00BD0BA2"/>
    <w:rsid w:val="00BD2676"/>
    <w:rsid w:val="00BD3A97"/>
    <w:rsid w:val="00BD3CBA"/>
    <w:rsid w:val="00BD4B0C"/>
    <w:rsid w:val="00BD6994"/>
    <w:rsid w:val="00BE4FA9"/>
    <w:rsid w:val="00BE55D2"/>
    <w:rsid w:val="00BE6AA4"/>
    <w:rsid w:val="00BE6B83"/>
    <w:rsid w:val="00BF01BA"/>
    <w:rsid w:val="00BF5160"/>
    <w:rsid w:val="00C0070F"/>
    <w:rsid w:val="00C02AF7"/>
    <w:rsid w:val="00C0409C"/>
    <w:rsid w:val="00C0510A"/>
    <w:rsid w:val="00C0688D"/>
    <w:rsid w:val="00C06BE8"/>
    <w:rsid w:val="00C161EE"/>
    <w:rsid w:val="00C226FA"/>
    <w:rsid w:val="00C23B97"/>
    <w:rsid w:val="00C24CBD"/>
    <w:rsid w:val="00C25C93"/>
    <w:rsid w:val="00C266EA"/>
    <w:rsid w:val="00C2694D"/>
    <w:rsid w:val="00C312D5"/>
    <w:rsid w:val="00C31B88"/>
    <w:rsid w:val="00C40595"/>
    <w:rsid w:val="00C500E4"/>
    <w:rsid w:val="00C5100F"/>
    <w:rsid w:val="00C513FF"/>
    <w:rsid w:val="00C5646D"/>
    <w:rsid w:val="00C56554"/>
    <w:rsid w:val="00C57020"/>
    <w:rsid w:val="00C57C5D"/>
    <w:rsid w:val="00C65636"/>
    <w:rsid w:val="00C701B2"/>
    <w:rsid w:val="00C74ECF"/>
    <w:rsid w:val="00C81008"/>
    <w:rsid w:val="00C84420"/>
    <w:rsid w:val="00C86906"/>
    <w:rsid w:val="00C87460"/>
    <w:rsid w:val="00C87741"/>
    <w:rsid w:val="00C91462"/>
    <w:rsid w:val="00C92F93"/>
    <w:rsid w:val="00C93F1A"/>
    <w:rsid w:val="00CA0173"/>
    <w:rsid w:val="00CA1AE0"/>
    <w:rsid w:val="00CB3E45"/>
    <w:rsid w:val="00CB7378"/>
    <w:rsid w:val="00CC2E10"/>
    <w:rsid w:val="00CC637D"/>
    <w:rsid w:val="00CC70B7"/>
    <w:rsid w:val="00CD2074"/>
    <w:rsid w:val="00CD2095"/>
    <w:rsid w:val="00CD38C3"/>
    <w:rsid w:val="00CD7403"/>
    <w:rsid w:val="00CD74B4"/>
    <w:rsid w:val="00CE6D25"/>
    <w:rsid w:val="00CF0093"/>
    <w:rsid w:val="00CF3D17"/>
    <w:rsid w:val="00CF586E"/>
    <w:rsid w:val="00D01481"/>
    <w:rsid w:val="00D13810"/>
    <w:rsid w:val="00D1611C"/>
    <w:rsid w:val="00D16D29"/>
    <w:rsid w:val="00D173B3"/>
    <w:rsid w:val="00D21DCD"/>
    <w:rsid w:val="00D2695D"/>
    <w:rsid w:val="00D340C5"/>
    <w:rsid w:val="00D41E0D"/>
    <w:rsid w:val="00D42679"/>
    <w:rsid w:val="00D43169"/>
    <w:rsid w:val="00D4373E"/>
    <w:rsid w:val="00D454C2"/>
    <w:rsid w:val="00D6104F"/>
    <w:rsid w:val="00D642A0"/>
    <w:rsid w:val="00D642F6"/>
    <w:rsid w:val="00D64BAD"/>
    <w:rsid w:val="00D6782E"/>
    <w:rsid w:val="00D80F62"/>
    <w:rsid w:val="00D8207D"/>
    <w:rsid w:val="00D826E2"/>
    <w:rsid w:val="00D84D06"/>
    <w:rsid w:val="00D860D1"/>
    <w:rsid w:val="00D870CC"/>
    <w:rsid w:val="00D87AB7"/>
    <w:rsid w:val="00D92AAC"/>
    <w:rsid w:val="00D92FDA"/>
    <w:rsid w:val="00D95240"/>
    <w:rsid w:val="00D976CC"/>
    <w:rsid w:val="00D97F1F"/>
    <w:rsid w:val="00DA1425"/>
    <w:rsid w:val="00DA554C"/>
    <w:rsid w:val="00DA5C80"/>
    <w:rsid w:val="00DA6655"/>
    <w:rsid w:val="00DA7144"/>
    <w:rsid w:val="00DB43BA"/>
    <w:rsid w:val="00DB6402"/>
    <w:rsid w:val="00DB64AB"/>
    <w:rsid w:val="00DB6F94"/>
    <w:rsid w:val="00DC106D"/>
    <w:rsid w:val="00DC32EC"/>
    <w:rsid w:val="00DC35E2"/>
    <w:rsid w:val="00DC6BC3"/>
    <w:rsid w:val="00DC7F23"/>
    <w:rsid w:val="00DD5291"/>
    <w:rsid w:val="00DD646C"/>
    <w:rsid w:val="00DD7B38"/>
    <w:rsid w:val="00DE1DE4"/>
    <w:rsid w:val="00DE20DC"/>
    <w:rsid w:val="00DE4BB8"/>
    <w:rsid w:val="00DE58CD"/>
    <w:rsid w:val="00DE76B5"/>
    <w:rsid w:val="00DE7704"/>
    <w:rsid w:val="00DF1209"/>
    <w:rsid w:val="00E02703"/>
    <w:rsid w:val="00E04893"/>
    <w:rsid w:val="00E057F7"/>
    <w:rsid w:val="00E066D6"/>
    <w:rsid w:val="00E123A8"/>
    <w:rsid w:val="00E1316E"/>
    <w:rsid w:val="00E169DF"/>
    <w:rsid w:val="00E16C6B"/>
    <w:rsid w:val="00E2144A"/>
    <w:rsid w:val="00E2265B"/>
    <w:rsid w:val="00E2537B"/>
    <w:rsid w:val="00E313EE"/>
    <w:rsid w:val="00E31B1B"/>
    <w:rsid w:val="00E33B26"/>
    <w:rsid w:val="00E42526"/>
    <w:rsid w:val="00E42945"/>
    <w:rsid w:val="00E46ABB"/>
    <w:rsid w:val="00E46E31"/>
    <w:rsid w:val="00E5618A"/>
    <w:rsid w:val="00E56AD1"/>
    <w:rsid w:val="00E63B9C"/>
    <w:rsid w:val="00E72A9B"/>
    <w:rsid w:val="00E75A55"/>
    <w:rsid w:val="00E76FA9"/>
    <w:rsid w:val="00E77DE4"/>
    <w:rsid w:val="00E81DF0"/>
    <w:rsid w:val="00E83D37"/>
    <w:rsid w:val="00E862C8"/>
    <w:rsid w:val="00E87A30"/>
    <w:rsid w:val="00E90BB5"/>
    <w:rsid w:val="00E92FB9"/>
    <w:rsid w:val="00E93A6C"/>
    <w:rsid w:val="00E94B2F"/>
    <w:rsid w:val="00E951D9"/>
    <w:rsid w:val="00EA44CB"/>
    <w:rsid w:val="00EA4888"/>
    <w:rsid w:val="00EA75C6"/>
    <w:rsid w:val="00EB07C2"/>
    <w:rsid w:val="00EB21C0"/>
    <w:rsid w:val="00EB223E"/>
    <w:rsid w:val="00EB467E"/>
    <w:rsid w:val="00EB59B0"/>
    <w:rsid w:val="00EB6EB2"/>
    <w:rsid w:val="00EB7FC9"/>
    <w:rsid w:val="00EC02E4"/>
    <w:rsid w:val="00EC2822"/>
    <w:rsid w:val="00EC3E70"/>
    <w:rsid w:val="00EC40D4"/>
    <w:rsid w:val="00EC6CF8"/>
    <w:rsid w:val="00ED08EB"/>
    <w:rsid w:val="00ED2064"/>
    <w:rsid w:val="00ED26E4"/>
    <w:rsid w:val="00ED6FB7"/>
    <w:rsid w:val="00ED76B9"/>
    <w:rsid w:val="00EE13F6"/>
    <w:rsid w:val="00EE2FCB"/>
    <w:rsid w:val="00EE354B"/>
    <w:rsid w:val="00EE4151"/>
    <w:rsid w:val="00EE72FC"/>
    <w:rsid w:val="00EF11CD"/>
    <w:rsid w:val="00EF21F5"/>
    <w:rsid w:val="00EF4BBE"/>
    <w:rsid w:val="00F03F3D"/>
    <w:rsid w:val="00F04B4E"/>
    <w:rsid w:val="00F05E09"/>
    <w:rsid w:val="00F07C09"/>
    <w:rsid w:val="00F14B3B"/>
    <w:rsid w:val="00F165DC"/>
    <w:rsid w:val="00F20894"/>
    <w:rsid w:val="00F2212E"/>
    <w:rsid w:val="00F23D43"/>
    <w:rsid w:val="00F30C93"/>
    <w:rsid w:val="00F31172"/>
    <w:rsid w:val="00F34F65"/>
    <w:rsid w:val="00F44F4E"/>
    <w:rsid w:val="00F46601"/>
    <w:rsid w:val="00F46AD1"/>
    <w:rsid w:val="00F470E9"/>
    <w:rsid w:val="00F47CD2"/>
    <w:rsid w:val="00F52439"/>
    <w:rsid w:val="00F52F09"/>
    <w:rsid w:val="00F53EF9"/>
    <w:rsid w:val="00F540D6"/>
    <w:rsid w:val="00F642FB"/>
    <w:rsid w:val="00F65DCB"/>
    <w:rsid w:val="00F70F4F"/>
    <w:rsid w:val="00F7218A"/>
    <w:rsid w:val="00F7230B"/>
    <w:rsid w:val="00F74B49"/>
    <w:rsid w:val="00F756E8"/>
    <w:rsid w:val="00F75B1E"/>
    <w:rsid w:val="00F76D56"/>
    <w:rsid w:val="00F806CB"/>
    <w:rsid w:val="00F848DB"/>
    <w:rsid w:val="00F85231"/>
    <w:rsid w:val="00F91C84"/>
    <w:rsid w:val="00F92E32"/>
    <w:rsid w:val="00F93778"/>
    <w:rsid w:val="00F954ED"/>
    <w:rsid w:val="00FA1016"/>
    <w:rsid w:val="00FA1433"/>
    <w:rsid w:val="00FA14B6"/>
    <w:rsid w:val="00FA215C"/>
    <w:rsid w:val="00FA238F"/>
    <w:rsid w:val="00FA7F45"/>
    <w:rsid w:val="00FB02BD"/>
    <w:rsid w:val="00FB1837"/>
    <w:rsid w:val="00FB6310"/>
    <w:rsid w:val="00FB7A72"/>
    <w:rsid w:val="00FC1B9E"/>
    <w:rsid w:val="00FC5F40"/>
    <w:rsid w:val="00FC660B"/>
    <w:rsid w:val="00FC6B0B"/>
    <w:rsid w:val="00FC6EEB"/>
    <w:rsid w:val="00FC7F48"/>
    <w:rsid w:val="00FD1769"/>
    <w:rsid w:val="00FD3F2B"/>
    <w:rsid w:val="00FD5E50"/>
    <w:rsid w:val="00FE05F7"/>
    <w:rsid w:val="00FE1380"/>
    <w:rsid w:val="00FE1628"/>
    <w:rsid w:val="00FE3C58"/>
    <w:rsid w:val="00FE4165"/>
    <w:rsid w:val="00FF04DF"/>
    <w:rsid w:val="00FF541A"/>
    <w:rsid w:val="00FF6DA2"/>
    <w:rsid w:val="00FF7129"/>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86A8EB"/>
  <w15:docId w15:val="{E40CBD41-8146-4DA2-B241-291A6D1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7E06"/>
    <w:pPr>
      <w:keepNext/>
      <w:spacing w:after="0" w:line="240" w:lineRule="auto"/>
      <w:outlineLvl w:val="0"/>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437E06"/>
    <w:pPr>
      <w:keepNext/>
      <w:spacing w:after="0" w:line="240" w:lineRule="auto"/>
      <w:ind w:left="720"/>
      <w:jc w:val="both"/>
      <w:outlineLvl w:val="4"/>
    </w:pPr>
    <w:rPr>
      <w:rFonts w:ascii="Times New Roman" w:eastAsia="Times New Roman" w:hAnsi="Times New Roman" w:cs="Times New Roman"/>
      <w:b/>
      <w:bCs/>
      <w:sz w:val="24"/>
      <w:szCs w:val="24"/>
      <w:u w:val="single"/>
    </w:rPr>
  </w:style>
  <w:style w:type="paragraph" w:styleId="Heading6">
    <w:name w:val="heading 6"/>
    <w:basedOn w:val="Normal"/>
    <w:next w:val="Normal"/>
    <w:link w:val="Heading6Char"/>
    <w:qFormat/>
    <w:rsid w:val="00437E06"/>
    <w:pPr>
      <w:keepNext/>
      <w:spacing w:after="0" w:line="480" w:lineRule="auto"/>
      <w:jc w:val="center"/>
      <w:outlineLvl w:val="5"/>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437E06"/>
    <w:pPr>
      <w:keepNext/>
      <w:spacing w:before="240" w:after="0" w:line="360" w:lineRule="auto"/>
      <w:ind w:firstLine="720"/>
      <w:jc w:val="center"/>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437E06"/>
    <w:pPr>
      <w:keepNext/>
      <w:spacing w:after="0" w:line="360" w:lineRule="auto"/>
      <w:jc w:val="center"/>
      <w:outlineLvl w:val="8"/>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E0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37E06"/>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437E06"/>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437E06"/>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437E06"/>
    <w:rPr>
      <w:rFonts w:ascii="Times New Roman" w:eastAsia="Times New Roman" w:hAnsi="Times New Roman" w:cs="Times New Roman"/>
      <w:b/>
      <w:bCs/>
      <w:sz w:val="23"/>
      <w:szCs w:val="23"/>
    </w:rPr>
  </w:style>
  <w:style w:type="paragraph" w:styleId="BodyTextIndent3">
    <w:name w:val="Body Text Indent 3"/>
    <w:basedOn w:val="Normal"/>
    <w:link w:val="BodyTextIndent3Char"/>
    <w:semiHidden/>
    <w:rsid w:val="00437E06"/>
    <w:pPr>
      <w:spacing w:after="0" w:line="36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437E06"/>
    <w:rPr>
      <w:rFonts w:ascii="Times New Roman" w:eastAsia="Times New Roman" w:hAnsi="Times New Roman" w:cs="Times New Roman"/>
      <w:sz w:val="24"/>
      <w:szCs w:val="24"/>
    </w:rPr>
  </w:style>
  <w:style w:type="paragraph" w:customStyle="1" w:styleId="indent1">
    <w:name w:val="indent1"/>
    <w:basedOn w:val="Normal"/>
    <w:rsid w:val="00437E06"/>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437E06"/>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437E06"/>
    <w:rPr>
      <w:rFonts w:ascii="Times New Roman" w:eastAsia="Times New Roman" w:hAnsi="Times New Roman" w:cs="Times New Roman"/>
      <w:sz w:val="20"/>
      <w:szCs w:val="20"/>
      <w:lang w:val="en-GB"/>
    </w:rPr>
  </w:style>
  <w:style w:type="character" w:styleId="Hyperlink">
    <w:name w:val="Hyperlink"/>
    <w:basedOn w:val="DefaultParagraphFont"/>
    <w:semiHidden/>
    <w:rsid w:val="00437E06"/>
    <w:rPr>
      <w:color w:val="0000FF"/>
      <w:u w:val="single"/>
    </w:rPr>
  </w:style>
  <w:style w:type="paragraph" w:styleId="BodyTextIndent2">
    <w:name w:val="Body Text Indent 2"/>
    <w:basedOn w:val="Normal"/>
    <w:link w:val="BodyTextIndent2Char"/>
    <w:semiHidden/>
    <w:rsid w:val="00437E06"/>
    <w:pPr>
      <w:spacing w:after="0" w:line="240" w:lineRule="auto"/>
      <w:ind w:left="36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semiHidden/>
    <w:rsid w:val="00437E06"/>
    <w:rPr>
      <w:rFonts w:ascii="Times New Roman" w:eastAsia="Times New Roman" w:hAnsi="Times New Roman" w:cs="Times New Roman"/>
      <w:b/>
      <w:sz w:val="24"/>
      <w:szCs w:val="24"/>
    </w:rPr>
  </w:style>
  <w:style w:type="paragraph" w:styleId="BodyText3">
    <w:name w:val="Body Text 3"/>
    <w:basedOn w:val="Normal"/>
    <w:link w:val="BodyText3Char"/>
    <w:semiHidden/>
    <w:rsid w:val="00437E06"/>
    <w:pPr>
      <w:spacing w:after="0" w:line="36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437E0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E06"/>
    <w:rPr>
      <w:rFonts w:ascii="Tahoma" w:hAnsi="Tahoma" w:cs="Tahoma"/>
      <w:sz w:val="16"/>
      <w:szCs w:val="16"/>
    </w:rPr>
  </w:style>
  <w:style w:type="paragraph" w:styleId="Header">
    <w:name w:val="header"/>
    <w:basedOn w:val="Normal"/>
    <w:link w:val="HeaderChar"/>
    <w:uiPriority w:val="99"/>
    <w:unhideWhenUsed/>
    <w:rsid w:val="007C5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62B"/>
  </w:style>
  <w:style w:type="paragraph" w:styleId="Footer">
    <w:name w:val="footer"/>
    <w:basedOn w:val="Normal"/>
    <w:link w:val="FooterChar"/>
    <w:uiPriority w:val="99"/>
    <w:unhideWhenUsed/>
    <w:rsid w:val="007C5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62B"/>
  </w:style>
  <w:style w:type="paragraph" w:styleId="ListParagraph">
    <w:name w:val="List Paragraph"/>
    <w:basedOn w:val="Normal"/>
    <w:link w:val="ListParagraphChar"/>
    <w:uiPriority w:val="34"/>
    <w:qFormat/>
    <w:rsid w:val="00BA75BE"/>
    <w:pPr>
      <w:ind w:left="720"/>
      <w:contextualSpacing/>
    </w:pPr>
  </w:style>
  <w:style w:type="table" w:styleId="TableGrid">
    <w:name w:val="Table Grid"/>
    <w:basedOn w:val="TableNormal"/>
    <w:uiPriority w:val="39"/>
    <w:rsid w:val="0099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43B2"/>
    <w:rPr>
      <w:sz w:val="16"/>
      <w:szCs w:val="16"/>
    </w:rPr>
  </w:style>
  <w:style w:type="paragraph" w:styleId="CommentText">
    <w:name w:val="annotation text"/>
    <w:basedOn w:val="Normal"/>
    <w:link w:val="CommentTextChar"/>
    <w:uiPriority w:val="99"/>
    <w:semiHidden/>
    <w:unhideWhenUsed/>
    <w:rsid w:val="008343B2"/>
    <w:pPr>
      <w:spacing w:line="240" w:lineRule="auto"/>
    </w:pPr>
    <w:rPr>
      <w:sz w:val="20"/>
      <w:szCs w:val="20"/>
    </w:rPr>
  </w:style>
  <w:style w:type="character" w:customStyle="1" w:styleId="CommentTextChar">
    <w:name w:val="Comment Text Char"/>
    <w:basedOn w:val="DefaultParagraphFont"/>
    <w:link w:val="CommentText"/>
    <w:uiPriority w:val="99"/>
    <w:semiHidden/>
    <w:rsid w:val="008343B2"/>
    <w:rPr>
      <w:sz w:val="20"/>
      <w:szCs w:val="20"/>
    </w:rPr>
  </w:style>
  <w:style w:type="paragraph" w:styleId="CommentSubject">
    <w:name w:val="annotation subject"/>
    <w:basedOn w:val="CommentText"/>
    <w:next w:val="CommentText"/>
    <w:link w:val="CommentSubjectChar"/>
    <w:uiPriority w:val="99"/>
    <w:semiHidden/>
    <w:unhideWhenUsed/>
    <w:rsid w:val="008343B2"/>
    <w:rPr>
      <w:b/>
      <w:bCs/>
    </w:rPr>
  </w:style>
  <w:style w:type="character" w:customStyle="1" w:styleId="CommentSubjectChar">
    <w:name w:val="Comment Subject Char"/>
    <w:basedOn w:val="CommentTextChar"/>
    <w:link w:val="CommentSubject"/>
    <w:uiPriority w:val="99"/>
    <w:semiHidden/>
    <w:rsid w:val="008343B2"/>
    <w:rPr>
      <w:b/>
      <w:bCs/>
      <w:sz w:val="20"/>
      <w:szCs w:val="20"/>
    </w:rPr>
  </w:style>
  <w:style w:type="character" w:customStyle="1" w:styleId="ListParagraphChar">
    <w:name w:val="List Paragraph Char"/>
    <w:basedOn w:val="DefaultParagraphFont"/>
    <w:link w:val="ListParagraph"/>
    <w:uiPriority w:val="34"/>
    <w:rsid w:val="002B52D7"/>
  </w:style>
  <w:style w:type="paragraph" w:styleId="NormalWeb">
    <w:name w:val="Normal (Web)"/>
    <w:basedOn w:val="Normal"/>
    <w:uiPriority w:val="99"/>
    <w:unhideWhenUsed/>
    <w:rsid w:val="002B52D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1">
    <w:name w:val="Grid Table 1 Light1"/>
    <w:basedOn w:val="TableNormal"/>
    <w:uiPriority w:val="46"/>
    <w:rsid w:val="00FF6D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rsid w:val="0003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89/fnins.2018.00394"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E58E91-6786-EE44-9992-95D91B40F35F}">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CB2EC-3B80-4114-9BD3-8FB6FDFF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JP</cp:lastModifiedBy>
  <cp:revision>65</cp:revision>
  <cp:lastPrinted>2021-09-21T08:16:00Z</cp:lastPrinted>
  <dcterms:created xsi:type="dcterms:W3CDTF">2021-09-10T04:17:00Z</dcterms:created>
  <dcterms:modified xsi:type="dcterms:W3CDTF">2021-09-29T09:28:00Z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documentId_8788</vt:lpwstr>
  </property>
  <property fmtid="{D5CDD505-2E9C-101B-9397-08002B2CF9AE}" pid="3" name="grammarly_documentContext">
    <vt:lpwstr>{"goals":[],"domain":"general","emotions":[],"dialect":"american"}</vt:lpwstr>
  </property>
</Properties>
</file>